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8DA" w:rsidRPr="0023122D" w:rsidRDefault="00EE28DA" w:rsidP="0036787D">
      <w:pPr>
        <w:ind w:left="-426"/>
        <w:rPr>
          <w:rFonts w:ascii="Arial" w:hAnsi="Arial" w:cs="Arial"/>
          <w:b/>
          <w:sz w:val="30"/>
          <w:szCs w:val="30"/>
          <w:lang w:val="en-CA"/>
        </w:rPr>
      </w:pPr>
      <w:r w:rsidRPr="0023122D">
        <w:rPr>
          <w:rFonts w:ascii="Arial" w:hAnsi="Arial" w:cs="Arial"/>
          <w:b/>
          <w:sz w:val="30"/>
          <w:szCs w:val="30"/>
          <w:lang w:val="en-CA"/>
        </w:rPr>
        <w:t>Summary statement:</w:t>
      </w:r>
    </w:p>
    <w:p w:rsidR="007C6DEE" w:rsidRPr="0023122D" w:rsidRDefault="007C6DEE" w:rsidP="0036787D">
      <w:pPr>
        <w:ind w:left="-426"/>
        <w:rPr>
          <w:rFonts w:ascii="Arial" w:hAnsi="Arial" w:cs="Arial"/>
          <w:b/>
          <w:sz w:val="30"/>
          <w:szCs w:val="30"/>
          <w:lang w:val="en-CA"/>
        </w:rPr>
      </w:pPr>
      <w:bookmarkStart w:id="0" w:name="_GoBack"/>
      <w:bookmarkEnd w:id="0"/>
    </w:p>
    <w:p w:rsidR="00EE28DA" w:rsidRPr="0023122D" w:rsidRDefault="00EE28DA" w:rsidP="00777B53">
      <w:pPr>
        <w:ind w:left="-426"/>
        <w:jc w:val="both"/>
        <w:rPr>
          <w:rFonts w:ascii="Arial" w:hAnsi="Arial" w:cs="Arial"/>
          <w:sz w:val="22"/>
          <w:szCs w:val="22"/>
        </w:rPr>
      </w:pPr>
      <w:r w:rsidRPr="0023122D">
        <w:rPr>
          <w:rFonts w:ascii="Arial" w:hAnsi="Arial" w:cs="Arial"/>
          <w:b/>
          <w:i/>
          <w:sz w:val="22"/>
          <w:szCs w:val="22"/>
        </w:rPr>
        <w:t>Temperature:</w:t>
      </w:r>
      <w:r w:rsidRPr="0023122D">
        <w:rPr>
          <w:rFonts w:ascii="Arial" w:hAnsi="Arial" w:cs="Arial"/>
          <w:b/>
          <w:sz w:val="22"/>
          <w:szCs w:val="22"/>
        </w:rPr>
        <w:t xml:space="preserve"> </w:t>
      </w:r>
      <w:r w:rsidR="007C6DEE" w:rsidRPr="0023122D">
        <w:rPr>
          <w:rFonts w:ascii="Arial" w:hAnsi="Arial" w:cs="Arial"/>
          <w:sz w:val="22"/>
          <w:szCs w:val="22"/>
        </w:rPr>
        <w:t>The June to August 2018 average surface a</w:t>
      </w:r>
      <w:r w:rsidR="007C6DEE" w:rsidRPr="0023122D">
        <w:rPr>
          <w:rFonts w:ascii="Arial" w:eastAsia="Calibri" w:hAnsi="Arial" w:cs="Arial"/>
          <w:sz w:val="22"/>
          <w:szCs w:val="22"/>
        </w:rPr>
        <w:t>ir temperature anomalies were above average</w:t>
      </w:r>
      <w:r w:rsidR="007C6DEE" w:rsidRPr="0023122D">
        <w:rPr>
          <w:rFonts w:ascii="Arial" w:hAnsi="Arial" w:cs="Arial"/>
          <w:sz w:val="22"/>
          <w:szCs w:val="22"/>
        </w:rPr>
        <w:t xml:space="preserve"> for most of the Arctic domain</w:t>
      </w:r>
      <w:r w:rsidR="007C6DEE" w:rsidRPr="0023122D">
        <w:rPr>
          <w:rFonts w:ascii="Arial" w:eastAsia="Calibri" w:hAnsi="Arial" w:cs="Arial"/>
          <w:sz w:val="22"/>
          <w:szCs w:val="22"/>
        </w:rPr>
        <w:t xml:space="preserve">, with the exception of </w:t>
      </w:r>
      <w:r w:rsidR="007C6DEE" w:rsidRPr="0023122D">
        <w:rPr>
          <w:rFonts w:ascii="Arial" w:hAnsi="Arial" w:cs="Arial"/>
          <w:sz w:val="22"/>
          <w:szCs w:val="22"/>
        </w:rPr>
        <w:t>parts of the</w:t>
      </w:r>
      <w:r w:rsidR="007C6DEE" w:rsidRPr="0023122D">
        <w:rPr>
          <w:rFonts w:ascii="Arial" w:eastAsia="Calibri" w:hAnsi="Arial" w:cs="Arial"/>
          <w:sz w:val="22"/>
          <w:szCs w:val="22"/>
        </w:rPr>
        <w:t xml:space="preserve"> Canadian Arctic and </w:t>
      </w:r>
      <w:r w:rsidR="007C6DEE" w:rsidRPr="0023122D">
        <w:rPr>
          <w:rFonts w:ascii="Arial" w:hAnsi="Arial" w:cs="Arial"/>
          <w:sz w:val="22"/>
          <w:szCs w:val="22"/>
        </w:rPr>
        <w:t>central</w:t>
      </w:r>
      <w:r w:rsidR="007C6DEE" w:rsidRPr="0023122D">
        <w:rPr>
          <w:rFonts w:ascii="Arial" w:eastAsia="Calibri" w:hAnsi="Arial" w:cs="Arial"/>
          <w:sz w:val="22"/>
          <w:szCs w:val="22"/>
        </w:rPr>
        <w:t xml:space="preserve"> Greenland, where anomalies were negative.</w:t>
      </w:r>
    </w:p>
    <w:p w:rsidR="007C6DEE" w:rsidRPr="0023122D" w:rsidRDefault="007C6DEE" w:rsidP="00EE28DA">
      <w:pPr>
        <w:ind w:left="-426"/>
        <w:rPr>
          <w:rFonts w:ascii="Arial" w:hAnsi="Arial" w:cs="Arial"/>
          <w:b/>
          <w:i/>
          <w:sz w:val="22"/>
          <w:szCs w:val="22"/>
        </w:rPr>
      </w:pPr>
    </w:p>
    <w:p w:rsidR="00EE28DA" w:rsidRPr="0023122D" w:rsidRDefault="00EE28DA" w:rsidP="00777B53">
      <w:pPr>
        <w:ind w:left="-426"/>
        <w:jc w:val="both"/>
        <w:rPr>
          <w:rFonts w:ascii="Arial" w:hAnsi="Arial" w:cs="Arial"/>
          <w:sz w:val="22"/>
          <w:szCs w:val="22"/>
        </w:rPr>
      </w:pPr>
      <w:r w:rsidRPr="0023122D">
        <w:rPr>
          <w:rFonts w:ascii="Arial" w:hAnsi="Arial" w:cs="Arial"/>
          <w:b/>
          <w:i/>
          <w:sz w:val="22"/>
          <w:szCs w:val="22"/>
        </w:rPr>
        <w:t>Precipitation:</w:t>
      </w:r>
      <w:r w:rsidRPr="0023122D">
        <w:rPr>
          <w:rFonts w:ascii="Arial" w:hAnsi="Arial" w:cs="Arial"/>
          <w:b/>
          <w:sz w:val="22"/>
          <w:szCs w:val="22"/>
        </w:rPr>
        <w:t xml:space="preserve"> </w:t>
      </w:r>
      <w:r w:rsidR="007C6DEE" w:rsidRPr="0023122D">
        <w:rPr>
          <w:rFonts w:ascii="Arial" w:hAnsi="Arial" w:cs="Arial"/>
          <w:sz w:val="22"/>
          <w:szCs w:val="22"/>
        </w:rPr>
        <w:t>Precipitation between June and August 2018 was slightly below average over the Arctic region.</w:t>
      </w:r>
    </w:p>
    <w:p w:rsidR="007C6DEE" w:rsidRPr="0023122D" w:rsidRDefault="007C6DEE" w:rsidP="00EE28DA">
      <w:pPr>
        <w:ind w:left="-426"/>
        <w:rPr>
          <w:rFonts w:ascii="Arial" w:hAnsi="Arial" w:cs="Arial"/>
          <w:b/>
          <w:i/>
          <w:sz w:val="22"/>
          <w:szCs w:val="22"/>
        </w:rPr>
      </w:pPr>
    </w:p>
    <w:p w:rsidR="00344301" w:rsidRDefault="00EE28DA" w:rsidP="00344301">
      <w:pPr>
        <w:ind w:left="-426"/>
        <w:jc w:val="both"/>
        <w:rPr>
          <w:rFonts w:ascii="Arial" w:hAnsi="Arial" w:cs="Arial"/>
          <w:color w:val="auto"/>
          <w:sz w:val="22"/>
          <w:szCs w:val="22"/>
        </w:rPr>
      </w:pPr>
      <w:r w:rsidRPr="0023122D">
        <w:rPr>
          <w:rFonts w:ascii="Arial" w:hAnsi="Arial" w:cs="Arial"/>
          <w:b/>
          <w:i/>
          <w:sz w:val="22"/>
          <w:szCs w:val="22"/>
        </w:rPr>
        <w:t>Sea ice:</w:t>
      </w:r>
      <w:r w:rsidRPr="0023122D">
        <w:rPr>
          <w:rFonts w:ascii="Arial" w:hAnsi="Arial" w:cs="Arial"/>
          <w:b/>
          <w:sz w:val="22"/>
          <w:szCs w:val="22"/>
        </w:rPr>
        <w:t xml:space="preserve"> </w:t>
      </w:r>
      <w:r w:rsidR="007C6DEE" w:rsidRPr="0023122D">
        <w:rPr>
          <w:rFonts w:ascii="Arial" w:hAnsi="Arial" w:cs="Arial"/>
          <w:color w:val="auto"/>
          <w:sz w:val="22"/>
          <w:szCs w:val="22"/>
        </w:rPr>
        <w:t>The Northern Hemisphere summer 2018 minimum sea ice extent was the 6</w:t>
      </w:r>
      <w:r w:rsidR="007C6DEE" w:rsidRPr="0023122D">
        <w:rPr>
          <w:rFonts w:ascii="Arial" w:hAnsi="Arial" w:cs="Arial"/>
          <w:color w:val="auto"/>
          <w:sz w:val="22"/>
          <w:szCs w:val="22"/>
          <w:vertAlign w:val="superscript"/>
        </w:rPr>
        <w:t>th</w:t>
      </w:r>
      <w:r w:rsidR="007C6DEE" w:rsidRPr="0023122D">
        <w:rPr>
          <w:rFonts w:ascii="Arial" w:hAnsi="Arial" w:cs="Arial"/>
          <w:color w:val="auto"/>
          <w:sz w:val="22"/>
          <w:szCs w:val="22"/>
        </w:rPr>
        <w:t xml:space="preserve"> on record since 1979. High spatial variability in sea ice conditions between the Canadian and Eurasian Arctic was observed during the entire 2018 summer period.</w:t>
      </w:r>
    </w:p>
    <w:p w:rsidR="00344301" w:rsidRDefault="00344301" w:rsidP="00344301">
      <w:pPr>
        <w:ind w:left="-426"/>
        <w:jc w:val="both"/>
        <w:rPr>
          <w:rFonts w:ascii="Arial" w:hAnsi="Arial" w:cs="Arial"/>
          <w:b/>
          <w:bCs/>
        </w:rPr>
      </w:pPr>
    </w:p>
    <w:p w:rsidR="00344301" w:rsidRPr="00344301" w:rsidRDefault="00344301" w:rsidP="00344301">
      <w:pPr>
        <w:ind w:left="-426"/>
        <w:jc w:val="both"/>
        <w:rPr>
          <w:rFonts w:ascii="Arial" w:hAnsi="Arial" w:cs="Arial"/>
          <w:sz w:val="20"/>
          <w:szCs w:val="22"/>
        </w:rPr>
      </w:pPr>
      <w:r w:rsidRPr="00344301">
        <w:rPr>
          <w:rFonts w:ascii="Arial" w:hAnsi="Arial" w:cs="Arial"/>
          <w:bCs/>
          <w:i/>
          <w:sz w:val="22"/>
          <w:highlight w:val="yellow"/>
        </w:rPr>
        <w:t>Terrestrial Arctic Snow</w:t>
      </w:r>
      <w:r w:rsidRPr="00344301">
        <w:rPr>
          <w:rFonts w:ascii="Arial" w:hAnsi="Arial" w:cs="Arial"/>
          <w:bCs/>
          <w:i/>
          <w:sz w:val="22"/>
          <w:highlight w:val="yellow"/>
        </w:rPr>
        <w:t>:</w:t>
      </w:r>
      <w:r w:rsidRPr="00344301">
        <w:rPr>
          <w:rFonts w:ascii="Arial" w:hAnsi="Arial" w:cs="Arial"/>
          <w:bCs/>
          <w:sz w:val="22"/>
          <w:highlight w:val="yellow"/>
        </w:rPr>
        <w:t xml:space="preserve"> </w:t>
      </w:r>
      <w:r w:rsidRPr="00344301">
        <w:rPr>
          <w:rFonts w:ascii="Arial" w:hAnsi="Arial" w:cs="Arial"/>
          <w:bCs/>
          <w:sz w:val="22"/>
          <w:highlight w:val="yellow"/>
        </w:rPr>
        <w:t xml:space="preserve">Snow accumulation during the 2017/18 winter </w:t>
      </w:r>
      <w:r w:rsidRPr="00344301">
        <w:rPr>
          <w:rFonts w:ascii="Arial" w:hAnsi="Arial" w:cs="Arial"/>
          <w:bCs/>
          <w:sz w:val="22"/>
          <w:highlight w:val="yellow"/>
        </w:rPr>
        <w:t xml:space="preserve">(up to June 2018) </w:t>
      </w:r>
      <w:r w:rsidRPr="00344301">
        <w:rPr>
          <w:rFonts w:ascii="Arial" w:hAnsi="Arial" w:cs="Arial"/>
          <w:bCs/>
          <w:sz w:val="22"/>
          <w:highlight w:val="yellow"/>
        </w:rPr>
        <w:t>was above average across both the North American and Eurasian Arctic</w:t>
      </w:r>
      <w:r w:rsidRPr="00344301">
        <w:rPr>
          <w:rFonts w:ascii="Arial" w:hAnsi="Arial" w:cs="Arial"/>
          <w:bCs/>
          <w:sz w:val="22"/>
          <w:highlight w:val="yellow"/>
        </w:rPr>
        <w:t>.</w:t>
      </w:r>
    </w:p>
    <w:p w:rsidR="00EE28DA" w:rsidRPr="00344301" w:rsidRDefault="00EE28DA" w:rsidP="0036787D">
      <w:pPr>
        <w:ind w:left="-426"/>
        <w:rPr>
          <w:rFonts w:ascii="Arial" w:hAnsi="Arial" w:cs="Arial"/>
          <w:b/>
          <w:sz w:val="30"/>
          <w:szCs w:val="30"/>
        </w:rPr>
      </w:pPr>
    </w:p>
    <w:p w:rsidR="0036787D" w:rsidRPr="0023122D" w:rsidRDefault="0036787D" w:rsidP="0036787D">
      <w:pPr>
        <w:ind w:left="-426"/>
        <w:rPr>
          <w:rFonts w:ascii="Arial" w:hAnsi="Arial" w:cs="Arial"/>
          <w:b/>
          <w:sz w:val="30"/>
          <w:szCs w:val="30"/>
          <w:lang w:val="en-CA"/>
        </w:rPr>
      </w:pPr>
      <w:r w:rsidRPr="0023122D">
        <w:rPr>
          <w:rFonts w:ascii="Arial" w:hAnsi="Arial" w:cs="Arial"/>
          <w:b/>
          <w:sz w:val="30"/>
          <w:szCs w:val="30"/>
          <w:lang w:val="en-CA"/>
        </w:rPr>
        <w:t>Temperature</w:t>
      </w:r>
    </w:p>
    <w:p w:rsidR="0036787D" w:rsidRPr="0023122D" w:rsidRDefault="0036787D" w:rsidP="0036787D">
      <w:pPr>
        <w:ind w:left="-426"/>
        <w:rPr>
          <w:rFonts w:ascii="Arial" w:hAnsi="Arial" w:cs="Arial"/>
          <w:lang w:val="en-CA"/>
        </w:rPr>
      </w:pPr>
    </w:p>
    <w:p w:rsidR="0036787D" w:rsidRPr="0023122D" w:rsidRDefault="00801A91" w:rsidP="0036787D">
      <w:pPr>
        <w:keepNext/>
        <w:ind w:left="-426"/>
        <w:jc w:val="center"/>
        <w:rPr>
          <w:rFonts w:ascii="Arial" w:hAnsi="Arial" w:cs="Arial"/>
        </w:rPr>
      </w:pPr>
      <w:r w:rsidRPr="0023122D">
        <w:rPr>
          <w:rFonts w:ascii="Arial" w:hAnsi="Arial" w:cs="Arial"/>
          <w:noProof/>
          <w:lang w:val="ru-RU" w:eastAsia="ru-RU"/>
        </w:rPr>
        <w:drawing>
          <wp:inline distT="0" distB="0" distL="0" distR="0" wp14:anchorId="40764F3F" wp14:editId="15CAE7A0">
            <wp:extent cx="2100099" cy="2226507"/>
            <wp:effectExtent l="0" t="0" r="0" b="254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www.esrl.noaa.gov/psd/tmp/ncl8dv1bs3tlN.tmpqq.p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2100099" cy="2226507"/>
                    </a:xfrm>
                    <a:prstGeom prst="rect">
                      <a:avLst/>
                    </a:prstGeom>
                    <a:noFill/>
                    <a:extLst/>
                  </pic:spPr>
                </pic:pic>
              </a:graphicData>
            </a:graphic>
          </wp:inline>
        </w:drawing>
      </w:r>
    </w:p>
    <w:p w:rsidR="0036787D" w:rsidRPr="0023122D" w:rsidRDefault="0036787D" w:rsidP="0036787D">
      <w:pPr>
        <w:pStyle w:val="a3"/>
        <w:tabs>
          <w:tab w:val="left" w:pos="7938"/>
        </w:tabs>
        <w:ind w:left="993" w:right="1422"/>
        <w:jc w:val="both"/>
        <w:rPr>
          <w:rFonts w:ascii="Arial" w:hAnsi="Arial" w:cs="Arial"/>
          <w:color w:val="auto"/>
          <w:lang w:val="en-CA"/>
        </w:rPr>
      </w:pPr>
      <w:r w:rsidRPr="0023122D">
        <w:rPr>
          <w:rFonts w:ascii="Arial" w:hAnsi="Arial" w:cs="Arial"/>
          <w:color w:val="auto"/>
        </w:rPr>
        <w:t xml:space="preserve">Figure </w:t>
      </w:r>
      <w:r w:rsidRPr="0023122D">
        <w:rPr>
          <w:rFonts w:ascii="Arial" w:hAnsi="Arial" w:cs="Arial"/>
          <w:color w:val="auto"/>
        </w:rPr>
        <w:fldChar w:fldCharType="begin"/>
      </w:r>
      <w:r w:rsidRPr="0023122D">
        <w:rPr>
          <w:rFonts w:ascii="Arial" w:hAnsi="Arial" w:cs="Arial"/>
          <w:color w:val="auto"/>
        </w:rPr>
        <w:instrText xml:space="preserve"> SEQ Figure \* ARABIC </w:instrText>
      </w:r>
      <w:r w:rsidRPr="0023122D">
        <w:rPr>
          <w:rFonts w:ascii="Arial" w:hAnsi="Arial" w:cs="Arial"/>
          <w:color w:val="auto"/>
        </w:rPr>
        <w:fldChar w:fldCharType="separate"/>
      </w:r>
      <w:r w:rsidRPr="0023122D">
        <w:rPr>
          <w:rFonts w:ascii="Arial" w:hAnsi="Arial" w:cs="Arial"/>
          <w:noProof/>
          <w:color w:val="auto"/>
        </w:rPr>
        <w:t>1</w:t>
      </w:r>
      <w:r w:rsidRPr="0023122D">
        <w:rPr>
          <w:rFonts w:ascii="Arial" w:hAnsi="Arial" w:cs="Arial"/>
          <w:color w:val="auto"/>
        </w:rPr>
        <w:fldChar w:fldCharType="end"/>
      </w:r>
      <w:r w:rsidRPr="0023122D">
        <w:rPr>
          <w:rFonts w:ascii="Arial" w:hAnsi="Arial" w:cs="Arial"/>
          <w:color w:val="auto"/>
        </w:rPr>
        <w:t xml:space="preserve">: </w:t>
      </w:r>
      <w:r w:rsidR="006B0B22" w:rsidRPr="0023122D">
        <w:rPr>
          <w:rFonts w:ascii="Arial" w:hAnsi="Arial" w:cs="Arial"/>
          <w:color w:val="auto"/>
        </w:rPr>
        <w:t xml:space="preserve">June, July, </w:t>
      </w:r>
      <w:proofErr w:type="gramStart"/>
      <w:r w:rsidR="006B0B22" w:rsidRPr="0023122D">
        <w:rPr>
          <w:rFonts w:ascii="Arial" w:hAnsi="Arial" w:cs="Arial"/>
          <w:color w:val="auto"/>
        </w:rPr>
        <w:t>August</w:t>
      </w:r>
      <w:proofErr w:type="gramEnd"/>
      <w:r w:rsidR="006B0B22" w:rsidRPr="0023122D">
        <w:rPr>
          <w:rFonts w:ascii="Arial" w:hAnsi="Arial" w:cs="Arial"/>
          <w:color w:val="auto"/>
        </w:rPr>
        <w:t xml:space="preserve"> 2018 </w:t>
      </w:r>
      <w:r w:rsidR="00F24BFD">
        <w:rPr>
          <w:rFonts w:ascii="Arial" w:hAnsi="Arial" w:cs="Arial"/>
          <w:color w:val="auto"/>
        </w:rPr>
        <w:t xml:space="preserve">925 </w:t>
      </w:r>
      <w:proofErr w:type="spellStart"/>
      <w:r w:rsidR="00F24BFD">
        <w:rPr>
          <w:rFonts w:ascii="Arial" w:hAnsi="Arial" w:cs="Arial"/>
          <w:color w:val="auto"/>
        </w:rPr>
        <w:t>mb</w:t>
      </w:r>
      <w:proofErr w:type="spellEnd"/>
      <w:r w:rsidRPr="0023122D">
        <w:rPr>
          <w:rFonts w:ascii="Arial" w:hAnsi="Arial" w:cs="Arial"/>
          <w:color w:val="auto"/>
        </w:rPr>
        <w:t xml:space="preserve"> </w:t>
      </w:r>
      <w:r w:rsidR="006B0B22" w:rsidRPr="0023122D">
        <w:rPr>
          <w:rFonts w:ascii="Arial" w:hAnsi="Arial" w:cs="Arial"/>
          <w:color w:val="auto"/>
        </w:rPr>
        <w:t>temperature anomaly based on the 1981-2010 reference period from NCEP/NCAR Reanalysis.</w:t>
      </w:r>
      <w:r w:rsidR="00F24BFD">
        <w:rPr>
          <w:rFonts w:ascii="Arial" w:hAnsi="Arial" w:cs="Arial"/>
          <w:color w:val="auto"/>
        </w:rPr>
        <w:t xml:space="preserve"> The 925 </w:t>
      </w:r>
      <w:proofErr w:type="spellStart"/>
      <w:r w:rsidR="00F24BFD">
        <w:rPr>
          <w:rFonts w:ascii="Arial" w:hAnsi="Arial" w:cs="Arial"/>
          <w:color w:val="auto"/>
        </w:rPr>
        <w:t>mb</w:t>
      </w:r>
      <w:proofErr w:type="spellEnd"/>
      <w:r w:rsidR="00F24BFD">
        <w:rPr>
          <w:rFonts w:ascii="Arial" w:hAnsi="Arial" w:cs="Arial"/>
          <w:color w:val="auto"/>
        </w:rPr>
        <w:t xml:space="preserve"> </w:t>
      </w:r>
      <w:r w:rsidR="00F24BFD" w:rsidRPr="0023122D">
        <w:rPr>
          <w:rFonts w:ascii="Arial" w:hAnsi="Arial" w:cs="Arial"/>
          <w:color w:val="auto"/>
        </w:rPr>
        <w:t>temperature anomaly</w:t>
      </w:r>
      <w:r w:rsidR="00F24BFD">
        <w:rPr>
          <w:rFonts w:ascii="Arial" w:hAnsi="Arial" w:cs="Arial"/>
          <w:color w:val="auto"/>
        </w:rPr>
        <w:t xml:space="preserve"> is representative of surface conditions.</w:t>
      </w:r>
    </w:p>
    <w:p w:rsidR="00100AD4" w:rsidRPr="0023122D" w:rsidRDefault="00100AD4" w:rsidP="00100AD4">
      <w:pPr>
        <w:jc w:val="both"/>
        <w:rPr>
          <w:rFonts w:ascii="Arial" w:hAnsi="Arial" w:cs="Arial"/>
          <w:sz w:val="22"/>
          <w:szCs w:val="22"/>
        </w:rPr>
      </w:pPr>
      <w:r w:rsidRPr="0023122D">
        <w:rPr>
          <w:rFonts w:ascii="Arial" w:hAnsi="Arial" w:cs="Arial"/>
          <w:b/>
          <w:i/>
          <w:sz w:val="22"/>
          <w:szCs w:val="22"/>
        </w:rPr>
        <w:t>Last season:</w:t>
      </w:r>
      <w:r w:rsidRPr="0023122D">
        <w:rPr>
          <w:rFonts w:ascii="Arial" w:hAnsi="Arial" w:cs="Arial"/>
          <w:b/>
          <w:sz w:val="22"/>
          <w:szCs w:val="22"/>
        </w:rPr>
        <w:t xml:space="preserve"> </w:t>
      </w:r>
      <w:r w:rsidR="00CA0C49" w:rsidRPr="0023122D">
        <w:rPr>
          <w:rFonts w:ascii="Arial" w:hAnsi="Arial" w:cs="Arial"/>
          <w:sz w:val="22"/>
          <w:szCs w:val="22"/>
        </w:rPr>
        <w:t>The June</w:t>
      </w:r>
      <w:r w:rsidR="009D551C" w:rsidRPr="0023122D">
        <w:rPr>
          <w:rFonts w:ascii="Arial" w:hAnsi="Arial" w:cs="Arial"/>
          <w:sz w:val="22"/>
          <w:szCs w:val="22"/>
        </w:rPr>
        <w:t xml:space="preserve">, July, and </w:t>
      </w:r>
      <w:r w:rsidR="00CA0C49" w:rsidRPr="0023122D">
        <w:rPr>
          <w:rFonts w:ascii="Arial" w:hAnsi="Arial" w:cs="Arial"/>
          <w:sz w:val="22"/>
          <w:szCs w:val="22"/>
        </w:rPr>
        <w:t>August</w:t>
      </w:r>
      <w:r w:rsidR="009D551C" w:rsidRPr="0023122D">
        <w:rPr>
          <w:rFonts w:ascii="Arial" w:hAnsi="Arial" w:cs="Arial"/>
          <w:sz w:val="22"/>
          <w:szCs w:val="22"/>
        </w:rPr>
        <w:t xml:space="preserve"> (JJA)</w:t>
      </w:r>
      <w:r w:rsidR="00CA0C49" w:rsidRPr="0023122D">
        <w:rPr>
          <w:rFonts w:ascii="Arial" w:hAnsi="Arial" w:cs="Arial"/>
          <w:sz w:val="22"/>
          <w:szCs w:val="22"/>
        </w:rPr>
        <w:t xml:space="preserve"> 2018 average surface </w:t>
      </w:r>
      <w:r w:rsidR="00B45FA5" w:rsidRPr="0023122D">
        <w:rPr>
          <w:rFonts w:ascii="Arial" w:hAnsi="Arial" w:cs="Arial"/>
          <w:sz w:val="22"/>
          <w:szCs w:val="22"/>
        </w:rPr>
        <w:t xml:space="preserve">air </w:t>
      </w:r>
      <w:r w:rsidR="00CA0C49" w:rsidRPr="0023122D">
        <w:rPr>
          <w:rFonts w:ascii="Arial" w:hAnsi="Arial" w:cs="Arial"/>
          <w:sz w:val="22"/>
          <w:szCs w:val="22"/>
        </w:rPr>
        <w:t>temperature in the Arctic domain north of 65°N ranged between the highest (east</w:t>
      </w:r>
      <w:r w:rsidR="009D551C" w:rsidRPr="0023122D">
        <w:rPr>
          <w:rFonts w:ascii="Arial" w:hAnsi="Arial" w:cs="Arial"/>
          <w:sz w:val="22"/>
          <w:szCs w:val="22"/>
        </w:rPr>
        <w:t>ern</w:t>
      </w:r>
      <w:r w:rsidR="00CA0C49" w:rsidRPr="0023122D">
        <w:rPr>
          <w:rFonts w:ascii="Arial" w:hAnsi="Arial" w:cs="Arial"/>
          <w:sz w:val="22"/>
          <w:szCs w:val="22"/>
        </w:rPr>
        <w:t xml:space="preserve"> Siberia) to the 17</w:t>
      </w:r>
      <w:r w:rsidR="00CA0C49" w:rsidRPr="0023122D">
        <w:rPr>
          <w:rFonts w:ascii="Arial" w:hAnsi="Arial" w:cs="Arial"/>
          <w:sz w:val="22"/>
          <w:szCs w:val="22"/>
          <w:vertAlign w:val="superscript"/>
        </w:rPr>
        <w:t>th</w:t>
      </w:r>
      <w:r w:rsidR="00CA0C49" w:rsidRPr="0023122D">
        <w:rPr>
          <w:rFonts w:ascii="Arial" w:hAnsi="Arial" w:cs="Arial"/>
          <w:sz w:val="22"/>
          <w:szCs w:val="22"/>
        </w:rPr>
        <w:t xml:space="preserve"> highest (Canadian Arctic) warmest </w:t>
      </w:r>
      <w:r w:rsidR="009D551C" w:rsidRPr="0023122D">
        <w:rPr>
          <w:rFonts w:ascii="Arial" w:hAnsi="Arial" w:cs="Arial"/>
          <w:sz w:val="22"/>
          <w:szCs w:val="22"/>
        </w:rPr>
        <w:t xml:space="preserve">summer </w:t>
      </w:r>
      <w:r w:rsidR="00CA0C49" w:rsidRPr="0023122D">
        <w:rPr>
          <w:rFonts w:ascii="Arial" w:hAnsi="Arial" w:cs="Arial"/>
          <w:sz w:val="22"/>
          <w:szCs w:val="22"/>
        </w:rPr>
        <w:t xml:space="preserve">since 1949. The </w:t>
      </w:r>
      <w:r w:rsidR="009D551C" w:rsidRPr="0023122D">
        <w:rPr>
          <w:rFonts w:ascii="Arial" w:hAnsi="Arial" w:cs="Arial"/>
          <w:sz w:val="22"/>
          <w:szCs w:val="22"/>
        </w:rPr>
        <w:t>JJA</w:t>
      </w:r>
      <w:r w:rsidR="00CA0C49" w:rsidRPr="0023122D">
        <w:rPr>
          <w:rFonts w:ascii="Arial" w:hAnsi="Arial" w:cs="Arial"/>
          <w:sz w:val="22"/>
          <w:szCs w:val="22"/>
        </w:rPr>
        <w:t xml:space="preserve"> </w:t>
      </w:r>
      <w:r w:rsidR="00F24BFD">
        <w:rPr>
          <w:rFonts w:ascii="Arial" w:hAnsi="Arial" w:cs="Arial"/>
          <w:sz w:val="22"/>
          <w:szCs w:val="22"/>
        </w:rPr>
        <w:t xml:space="preserve">925 </w:t>
      </w:r>
      <w:proofErr w:type="spellStart"/>
      <w:r w:rsidR="00F24BFD">
        <w:rPr>
          <w:rFonts w:ascii="Arial" w:hAnsi="Arial" w:cs="Arial"/>
          <w:sz w:val="22"/>
          <w:szCs w:val="22"/>
        </w:rPr>
        <w:t>mb</w:t>
      </w:r>
      <w:proofErr w:type="spellEnd"/>
      <w:r w:rsidR="00CA0C49" w:rsidRPr="0023122D">
        <w:rPr>
          <w:rFonts w:ascii="Arial" w:hAnsi="Arial" w:cs="Arial"/>
          <w:sz w:val="22"/>
          <w:szCs w:val="22"/>
        </w:rPr>
        <w:t xml:space="preserve"> </w:t>
      </w:r>
      <w:r w:rsidRPr="0023122D">
        <w:rPr>
          <w:rFonts w:ascii="Arial" w:eastAsia="Calibri" w:hAnsi="Arial" w:cs="Arial"/>
          <w:sz w:val="22"/>
          <w:szCs w:val="22"/>
        </w:rPr>
        <w:t xml:space="preserve">temperature anomalies </w:t>
      </w:r>
      <w:r w:rsidR="009D551C" w:rsidRPr="0023122D">
        <w:rPr>
          <w:rFonts w:ascii="Arial" w:hAnsi="Arial" w:cs="Arial"/>
          <w:sz w:val="22"/>
          <w:szCs w:val="22"/>
        </w:rPr>
        <w:t xml:space="preserve">(Figure X) </w:t>
      </w:r>
      <w:r w:rsidRPr="0023122D">
        <w:rPr>
          <w:rFonts w:ascii="Arial" w:eastAsia="Calibri" w:hAnsi="Arial" w:cs="Arial"/>
          <w:sz w:val="22"/>
          <w:szCs w:val="22"/>
        </w:rPr>
        <w:t xml:space="preserve">were </w:t>
      </w:r>
      <w:r w:rsidR="0023122D">
        <w:rPr>
          <w:rFonts w:ascii="Arial" w:eastAsia="Calibri" w:hAnsi="Arial" w:cs="Arial"/>
          <w:sz w:val="22"/>
          <w:szCs w:val="22"/>
        </w:rPr>
        <w:t xml:space="preserve">average or </w:t>
      </w:r>
      <w:r w:rsidRPr="0023122D">
        <w:rPr>
          <w:rFonts w:ascii="Arial" w:eastAsia="Calibri" w:hAnsi="Arial" w:cs="Arial"/>
          <w:sz w:val="22"/>
          <w:szCs w:val="22"/>
        </w:rPr>
        <w:t>above average</w:t>
      </w:r>
      <w:r w:rsidR="00CA0C49" w:rsidRPr="0023122D">
        <w:rPr>
          <w:rFonts w:ascii="Arial" w:hAnsi="Arial" w:cs="Arial"/>
          <w:sz w:val="22"/>
          <w:szCs w:val="22"/>
        </w:rPr>
        <w:t xml:space="preserve"> for most of the Arctic domain</w:t>
      </w:r>
      <w:r w:rsidRPr="0023122D">
        <w:rPr>
          <w:rFonts w:ascii="Arial" w:eastAsia="Calibri" w:hAnsi="Arial" w:cs="Arial"/>
          <w:sz w:val="22"/>
          <w:szCs w:val="22"/>
        </w:rPr>
        <w:t xml:space="preserve">, with the exception of </w:t>
      </w:r>
      <w:r w:rsidR="00B45FA5" w:rsidRPr="0023122D">
        <w:rPr>
          <w:rFonts w:ascii="Arial" w:hAnsi="Arial" w:cs="Arial"/>
          <w:sz w:val="22"/>
          <w:szCs w:val="22"/>
        </w:rPr>
        <w:t>parts of the</w:t>
      </w:r>
      <w:r w:rsidRPr="0023122D">
        <w:rPr>
          <w:rFonts w:ascii="Arial" w:eastAsia="Calibri" w:hAnsi="Arial" w:cs="Arial"/>
          <w:sz w:val="22"/>
          <w:szCs w:val="22"/>
        </w:rPr>
        <w:t xml:space="preserve"> Canadian Arctic and </w:t>
      </w:r>
      <w:r w:rsidR="009D551C" w:rsidRPr="0023122D">
        <w:rPr>
          <w:rFonts w:ascii="Arial" w:hAnsi="Arial" w:cs="Arial"/>
          <w:sz w:val="22"/>
          <w:szCs w:val="22"/>
        </w:rPr>
        <w:t>central</w:t>
      </w:r>
      <w:r w:rsidRPr="0023122D">
        <w:rPr>
          <w:rFonts w:ascii="Arial" w:eastAsia="Calibri" w:hAnsi="Arial" w:cs="Arial"/>
          <w:sz w:val="22"/>
          <w:szCs w:val="22"/>
        </w:rPr>
        <w:t xml:space="preserve"> Greenland, where anomalies were negative.</w:t>
      </w:r>
      <w:r w:rsidRPr="0023122D">
        <w:rPr>
          <w:rFonts w:ascii="Arial" w:hAnsi="Arial" w:cs="Arial"/>
          <w:sz w:val="22"/>
          <w:szCs w:val="22"/>
        </w:rPr>
        <w:t xml:space="preserve"> </w:t>
      </w:r>
    </w:p>
    <w:p w:rsidR="00C46C5A" w:rsidRPr="0023122D" w:rsidRDefault="00C46C5A" w:rsidP="00100AD4">
      <w:pPr>
        <w:jc w:val="both"/>
        <w:rPr>
          <w:rFonts w:ascii="Arial" w:hAnsi="Arial" w:cs="Arial"/>
          <w:sz w:val="22"/>
          <w:szCs w:val="22"/>
        </w:rPr>
      </w:pPr>
    </w:p>
    <w:p w:rsidR="00100AD4" w:rsidRPr="0023122D" w:rsidRDefault="00100AD4" w:rsidP="00100AD4">
      <w:pPr>
        <w:jc w:val="both"/>
        <w:rPr>
          <w:rFonts w:ascii="Arial" w:hAnsi="Arial" w:cs="Arial"/>
          <w:sz w:val="22"/>
          <w:szCs w:val="22"/>
        </w:rPr>
      </w:pPr>
      <w:r w:rsidRPr="0023122D">
        <w:rPr>
          <w:rFonts w:ascii="Arial" w:hAnsi="Arial" w:cs="Arial"/>
          <w:sz w:val="22"/>
          <w:szCs w:val="22"/>
        </w:rPr>
        <w:t xml:space="preserve">Data from NCEP/NCAR reanalysis was </w:t>
      </w:r>
      <w:r w:rsidR="00CA0C49" w:rsidRPr="0023122D">
        <w:rPr>
          <w:rFonts w:ascii="Arial" w:hAnsi="Arial" w:cs="Arial"/>
          <w:sz w:val="22"/>
          <w:szCs w:val="22"/>
        </w:rPr>
        <w:t xml:space="preserve">also </w:t>
      </w:r>
      <w:r w:rsidRPr="0023122D">
        <w:rPr>
          <w:rFonts w:ascii="Arial" w:hAnsi="Arial" w:cs="Arial"/>
          <w:sz w:val="22"/>
          <w:szCs w:val="22"/>
        </w:rPr>
        <w:t xml:space="preserve">used to rank the 2-m surface temperatures since 1949. Between May and </w:t>
      </w:r>
      <w:r w:rsidR="00801A91" w:rsidRPr="0023122D">
        <w:rPr>
          <w:rFonts w:ascii="Arial" w:hAnsi="Arial" w:cs="Arial"/>
          <w:sz w:val="22"/>
          <w:szCs w:val="22"/>
        </w:rPr>
        <w:t>September</w:t>
      </w:r>
      <w:r w:rsidRPr="0023122D">
        <w:rPr>
          <w:rFonts w:ascii="Arial" w:hAnsi="Arial" w:cs="Arial"/>
          <w:sz w:val="22"/>
          <w:szCs w:val="22"/>
        </w:rPr>
        <w:t xml:space="preserve"> 2018, most of Scandinavia, northern Siberia, the Arctic </w:t>
      </w:r>
      <w:r w:rsidR="00801A91" w:rsidRPr="0023122D">
        <w:rPr>
          <w:rFonts w:ascii="Arial" w:hAnsi="Arial" w:cs="Arial"/>
          <w:sz w:val="22"/>
          <w:szCs w:val="22"/>
        </w:rPr>
        <w:t xml:space="preserve">Ocean, the Chukchi and Beaufort Seas, as well as </w:t>
      </w:r>
      <w:r w:rsidRPr="0023122D">
        <w:rPr>
          <w:rFonts w:ascii="Arial" w:hAnsi="Arial" w:cs="Arial"/>
          <w:sz w:val="22"/>
          <w:szCs w:val="22"/>
        </w:rPr>
        <w:t xml:space="preserve">the North Pole experienced their warmest year since 1949, while </w:t>
      </w:r>
      <w:r w:rsidR="00801A91" w:rsidRPr="0023122D">
        <w:rPr>
          <w:rFonts w:ascii="Arial" w:hAnsi="Arial" w:cs="Arial"/>
          <w:sz w:val="22"/>
          <w:szCs w:val="22"/>
        </w:rPr>
        <w:t xml:space="preserve">parts of </w:t>
      </w:r>
      <w:r w:rsidRPr="0023122D">
        <w:rPr>
          <w:rFonts w:ascii="Arial" w:hAnsi="Arial" w:cs="Arial"/>
          <w:sz w:val="22"/>
          <w:szCs w:val="22"/>
        </w:rPr>
        <w:t xml:space="preserve">the eastern Canadian Arctic and southern Greenland experienced </w:t>
      </w:r>
      <w:r w:rsidR="00801A91" w:rsidRPr="0023122D">
        <w:rPr>
          <w:rFonts w:ascii="Arial" w:hAnsi="Arial" w:cs="Arial"/>
          <w:sz w:val="22"/>
          <w:szCs w:val="22"/>
        </w:rPr>
        <w:t>their coldest temperatures since 1949</w:t>
      </w:r>
      <w:r w:rsidRPr="0023122D">
        <w:rPr>
          <w:rFonts w:ascii="Arial" w:hAnsi="Arial" w:cs="Arial"/>
          <w:sz w:val="22"/>
          <w:szCs w:val="22"/>
        </w:rPr>
        <w:t xml:space="preserve">. </w:t>
      </w:r>
    </w:p>
    <w:p w:rsidR="00F24BFD" w:rsidRDefault="00F24BFD" w:rsidP="00100AD4">
      <w:pPr>
        <w:ind w:left="-426"/>
        <w:rPr>
          <w:rFonts w:ascii="Arial" w:hAnsi="Arial" w:cs="Arial"/>
          <w:b/>
          <w:sz w:val="30"/>
          <w:szCs w:val="30"/>
          <w:lang w:val="en-CA"/>
        </w:rPr>
      </w:pPr>
    </w:p>
    <w:p w:rsidR="00100AD4" w:rsidRPr="0023122D" w:rsidRDefault="00100AD4" w:rsidP="00100AD4">
      <w:pPr>
        <w:ind w:left="-426"/>
        <w:rPr>
          <w:rFonts w:ascii="Arial" w:hAnsi="Arial" w:cs="Arial"/>
          <w:b/>
          <w:sz w:val="30"/>
          <w:szCs w:val="30"/>
          <w:lang w:val="en-CA"/>
        </w:rPr>
      </w:pPr>
      <w:r w:rsidRPr="0023122D">
        <w:rPr>
          <w:rFonts w:ascii="Arial" w:hAnsi="Arial" w:cs="Arial"/>
          <w:b/>
          <w:sz w:val="30"/>
          <w:szCs w:val="30"/>
          <w:lang w:val="en-CA"/>
        </w:rPr>
        <w:t>Precipitation</w:t>
      </w:r>
    </w:p>
    <w:p w:rsidR="00100AD4" w:rsidRPr="0023122D" w:rsidRDefault="00100AD4" w:rsidP="00100AD4">
      <w:pPr>
        <w:ind w:left="-426"/>
        <w:rPr>
          <w:rFonts w:ascii="Arial" w:hAnsi="Arial" w:cs="Arial"/>
          <w:lang w:val="en-CA"/>
        </w:rPr>
      </w:pPr>
    </w:p>
    <w:p w:rsidR="00100AD4" w:rsidRPr="0023122D" w:rsidRDefault="00C46C5A" w:rsidP="00100AD4">
      <w:pPr>
        <w:keepNext/>
        <w:ind w:left="-426"/>
        <w:jc w:val="center"/>
        <w:rPr>
          <w:rFonts w:ascii="Arial" w:hAnsi="Arial" w:cs="Arial"/>
        </w:rPr>
      </w:pPr>
      <w:r w:rsidRPr="0023122D">
        <w:rPr>
          <w:rFonts w:ascii="Arial" w:hAnsi="Arial" w:cs="Arial"/>
          <w:noProof/>
          <w:lang w:val="ru-RU" w:eastAsia="ru-RU"/>
        </w:rPr>
        <w:drawing>
          <wp:inline distT="0" distB="0" distL="0" distR="0" wp14:anchorId="2424A065" wp14:editId="2C2A102B">
            <wp:extent cx="2576223" cy="2339257"/>
            <wp:effectExtent l="0" t="0" r="0" b="444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www.esrl.noaa.gov/psd/tmp/ncl8dv1bs3tlN.tmpqq.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579560" cy="2342287"/>
                    </a:xfrm>
                    <a:prstGeom prst="rect">
                      <a:avLst/>
                    </a:prstGeom>
                    <a:noFill/>
                    <a:extLst/>
                  </pic:spPr>
                </pic:pic>
              </a:graphicData>
            </a:graphic>
          </wp:inline>
        </w:drawing>
      </w:r>
    </w:p>
    <w:p w:rsidR="00100AD4" w:rsidRPr="0023122D" w:rsidRDefault="00100AD4" w:rsidP="00100AD4">
      <w:pPr>
        <w:pStyle w:val="a3"/>
        <w:tabs>
          <w:tab w:val="left" w:pos="7938"/>
        </w:tabs>
        <w:ind w:left="993" w:right="1422"/>
        <w:jc w:val="both"/>
        <w:rPr>
          <w:rFonts w:ascii="Arial" w:hAnsi="Arial" w:cs="Arial"/>
          <w:color w:val="auto"/>
          <w:lang w:val="en-CA"/>
        </w:rPr>
      </w:pPr>
      <w:r w:rsidRPr="0023122D">
        <w:rPr>
          <w:rFonts w:ascii="Arial" w:hAnsi="Arial" w:cs="Arial"/>
          <w:color w:val="auto"/>
        </w:rPr>
        <w:t xml:space="preserve">Figure </w:t>
      </w:r>
      <w:r w:rsidRPr="0023122D">
        <w:rPr>
          <w:rFonts w:ascii="Arial" w:hAnsi="Arial" w:cs="Arial"/>
          <w:color w:val="auto"/>
        </w:rPr>
        <w:fldChar w:fldCharType="begin"/>
      </w:r>
      <w:r w:rsidRPr="0023122D">
        <w:rPr>
          <w:rFonts w:ascii="Arial" w:hAnsi="Arial" w:cs="Arial"/>
          <w:color w:val="auto"/>
        </w:rPr>
        <w:instrText xml:space="preserve"> SEQ Figure \* ARABIC </w:instrText>
      </w:r>
      <w:r w:rsidRPr="0023122D">
        <w:rPr>
          <w:rFonts w:ascii="Arial" w:hAnsi="Arial" w:cs="Arial"/>
          <w:color w:val="auto"/>
        </w:rPr>
        <w:fldChar w:fldCharType="separate"/>
      </w:r>
      <w:r w:rsidRPr="0023122D">
        <w:rPr>
          <w:rFonts w:ascii="Arial" w:hAnsi="Arial" w:cs="Arial"/>
          <w:noProof/>
          <w:color w:val="auto"/>
        </w:rPr>
        <w:t>1</w:t>
      </w:r>
      <w:r w:rsidRPr="0023122D">
        <w:rPr>
          <w:rFonts w:ascii="Arial" w:hAnsi="Arial" w:cs="Arial"/>
          <w:color w:val="auto"/>
        </w:rPr>
        <w:fldChar w:fldCharType="end"/>
      </w:r>
      <w:r w:rsidRPr="0023122D">
        <w:rPr>
          <w:rFonts w:ascii="Arial" w:hAnsi="Arial" w:cs="Arial"/>
          <w:color w:val="auto"/>
        </w:rPr>
        <w:t xml:space="preserve">: </w:t>
      </w:r>
      <w:r w:rsidR="00C46C5A" w:rsidRPr="0023122D">
        <w:rPr>
          <w:rFonts w:ascii="Arial" w:hAnsi="Arial" w:cs="Arial"/>
          <w:color w:val="auto"/>
        </w:rPr>
        <w:t xml:space="preserve">June, July, </w:t>
      </w:r>
      <w:proofErr w:type="gramStart"/>
      <w:r w:rsidR="00C46C5A" w:rsidRPr="0023122D">
        <w:rPr>
          <w:rFonts w:ascii="Arial" w:hAnsi="Arial" w:cs="Arial"/>
          <w:color w:val="auto"/>
        </w:rPr>
        <w:t>August</w:t>
      </w:r>
      <w:proofErr w:type="gramEnd"/>
      <w:r w:rsidR="00C46C5A" w:rsidRPr="0023122D">
        <w:rPr>
          <w:rFonts w:ascii="Arial" w:hAnsi="Arial" w:cs="Arial"/>
          <w:color w:val="auto"/>
        </w:rPr>
        <w:t xml:space="preserve"> 2018 precipitation anomaly based on the 1981-2010 reference period from NCEP/NCAR Reanalysis. </w:t>
      </w:r>
    </w:p>
    <w:p w:rsidR="00C46C5A" w:rsidRPr="0023122D" w:rsidRDefault="00100AD4" w:rsidP="00EE28DA">
      <w:pPr>
        <w:jc w:val="both"/>
        <w:rPr>
          <w:rFonts w:ascii="Arial" w:hAnsi="Arial" w:cs="Arial"/>
          <w:color w:val="auto"/>
          <w:sz w:val="22"/>
          <w:szCs w:val="22"/>
          <w:lang w:val="en-CA"/>
        </w:rPr>
      </w:pPr>
      <w:r w:rsidRPr="0023122D">
        <w:rPr>
          <w:rFonts w:ascii="Arial" w:hAnsi="Arial" w:cs="Arial"/>
          <w:b/>
          <w:i/>
          <w:color w:val="auto"/>
        </w:rPr>
        <w:t>Last season:</w:t>
      </w:r>
      <w:r w:rsidR="00C46C5A" w:rsidRPr="0023122D">
        <w:rPr>
          <w:rFonts w:ascii="Arial" w:hAnsi="Arial" w:cs="Arial"/>
          <w:color w:val="auto"/>
          <w:sz w:val="22"/>
          <w:szCs w:val="22"/>
        </w:rPr>
        <w:t xml:space="preserve"> </w:t>
      </w:r>
      <w:r w:rsidR="00EE28DA" w:rsidRPr="0023122D">
        <w:rPr>
          <w:rFonts w:ascii="Arial" w:hAnsi="Arial" w:cs="Arial"/>
          <w:color w:val="auto"/>
          <w:sz w:val="22"/>
          <w:szCs w:val="22"/>
        </w:rPr>
        <w:t>For the JJA 2018 time period, l</w:t>
      </w:r>
      <w:r w:rsidR="00C46C5A" w:rsidRPr="0023122D">
        <w:rPr>
          <w:rFonts w:ascii="Arial" w:hAnsi="Arial" w:cs="Arial"/>
          <w:color w:val="auto"/>
          <w:sz w:val="22"/>
          <w:szCs w:val="22"/>
        </w:rPr>
        <w:t xml:space="preserve">ower than average precipitation was observed over </w:t>
      </w:r>
      <w:r w:rsidR="005E2B01" w:rsidRPr="0023122D">
        <w:rPr>
          <w:rFonts w:ascii="Arial" w:hAnsi="Arial" w:cs="Arial"/>
          <w:color w:val="auto"/>
          <w:sz w:val="22"/>
          <w:szCs w:val="22"/>
        </w:rPr>
        <w:t xml:space="preserve">the </w:t>
      </w:r>
      <w:r w:rsidR="00F24BFD">
        <w:rPr>
          <w:rFonts w:ascii="Arial" w:hAnsi="Arial" w:cs="Arial"/>
          <w:color w:val="auto"/>
          <w:sz w:val="22"/>
          <w:szCs w:val="22"/>
        </w:rPr>
        <w:t>Siberia</w:t>
      </w:r>
      <w:r w:rsidR="00EE28DA" w:rsidRPr="0023122D">
        <w:rPr>
          <w:rFonts w:ascii="Arial" w:hAnsi="Arial" w:cs="Arial"/>
          <w:color w:val="auto"/>
          <w:sz w:val="22"/>
          <w:szCs w:val="22"/>
        </w:rPr>
        <w:t xml:space="preserve"> (yellow and </w:t>
      </w:r>
      <w:r w:rsidR="00F24BFD">
        <w:rPr>
          <w:rFonts w:ascii="Arial" w:hAnsi="Arial" w:cs="Arial"/>
          <w:color w:val="auto"/>
          <w:sz w:val="22"/>
          <w:szCs w:val="22"/>
        </w:rPr>
        <w:t>green</w:t>
      </w:r>
      <w:r w:rsidR="00EE28DA" w:rsidRPr="0023122D">
        <w:rPr>
          <w:rFonts w:ascii="Arial" w:hAnsi="Arial" w:cs="Arial"/>
          <w:color w:val="auto"/>
          <w:sz w:val="22"/>
          <w:szCs w:val="22"/>
        </w:rPr>
        <w:t xml:space="preserve"> areas), while close to normal and slightly above average values were observed in Atlantic, the </w:t>
      </w:r>
      <w:r w:rsidR="005E2B01" w:rsidRPr="0023122D">
        <w:rPr>
          <w:rFonts w:ascii="Arial" w:hAnsi="Arial" w:cs="Arial"/>
          <w:color w:val="auto"/>
          <w:sz w:val="22"/>
          <w:szCs w:val="22"/>
        </w:rPr>
        <w:t>N</w:t>
      </w:r>
      <w:r w:rsidR="00C46C5A" w:rsidRPr="0023122D">
        <w:rPr>
          <w:rFonts w:ascii="Arial" w:hAnsi="Arial" w:cs="Arial"/>
          <w:color w:val="auto"/>
          <w:sz w:val="22"/>
          <w:szCs w:val="22"/>
        </w:rPr>
        <w:t>orthern</w:t>
      </w:r>
      <w:r w:rsidR="005E2B01" w:rsidRPr="0023122D">
        <w:rPr>
          <w:rFonts w:ascii="Arial" w:hAnsi="Arial" w:cs="Arial"/>
          <w:color w:val="auto"/>
          <w:sz w:val="22"/>
          <w:szCs w:val="22"/>
        </w:rPr>
        <w:t xml:space="preserve"> European</w:t>
      </w:r>
      <w:r w:rsidR="00EE28DA" w:rsidRPr="0023122D">
        <w:rPr>
          <w:rFonts w:ascii="Arial" w:hAnsi="Arial" w:cs="Arial"/>
          <w:color w:val="auto"/>
          <w:sz w:val="22"/>
          <w:szCs w:val="22"/>
        </w:rPr>
        <w:t xml:space="preserve"> and Canadian Arctic</w:t>
      </w:r>
      <w:r w:rsidR="005E2B01" w:rsidRPr="0023122D">
        <w:rPr>
          <w:rFonts w:ascii="Arial" w:hAnsi="Arial" w:cs="Arial"/>
          <w:color w:val="auto"/>
          <w:sz w:val="22"/>
          <w:szCs w:val="22"/>
        </w:rPr>
        <w:t xml:space="preserve"> regions</w:t>
      </w:r>
      <w:r w:rsidR="00EE28DA" w:rsidRPr="0023122D">
        <w:rPr>
          <w:rFonts w:ascii="Arial" w:hAnsi="Arial" w:cs="Arial"/>
          <w:color w:val="auto"/>
          <w:sz w:val="22"/>
          <w:szCs w:val="22"/>
        </w:rPr>
        <w:t xml:space="preserve"> (</w:t>
      </w:r>
      <w:r w:rsidR="00F24BFD">
        <w:rPr>
          <w:rFonts w:ascii="Arial" w:hAnsi="Arial" w:cs="Arial"/>
          <w:color w:val="auto"/>
          <w:sz w:val="22"/>
          <w:szCs w:val="22"/>
        </w:rPr>
        <w:t>blue</w:t>
      </w:r>
      <w:r w:rsidR="00EE28DA" w:rsidRPr="0023122D">
        <w:rPr>
          <w:rFonts w:ascii="Arial" w:hAnsi="Arial" w:cs="Arial"/>
          <w:color w:val="auto"/>
          <w:sz w:val="22"/>
          <w:szCs w:val="22"/>
        </w:rPr>
        <w:t xml:space="preserve"> areas) (Figure X)</w:t>
      </w:r>
      <w:r w:rsidR="005E2B01" w:rsidRPr="00B02EFA">
        <w:rPr>
          <w:rFonts w:ascii="Arial" w:hAnsi="Arial" w:cs="Arial"/>
          <w:color w:val="auto"/>
          <w:sz w:val="22"/>
          <w:szCs w:val="22"/>
        </w:rPr>
        <w:t>.</w:t>
      </w:r>
      <w:r w:rsidR="00EE28DA" w:rsidRPr="0023122D">
        <w:rPr>
          <w:rFonts w:ascii="Arial" w:hAnsi="Arial" w:cs="Arial"/>
          <w:color w:val="auto"/>
          <w:sz w:val="22"/>
          <w:szCs w:val="22"/>
          <w:lang w:val="en-CA"/>
        </w:rPr>
        <w:t xml:space="preserve"> </w:t>
      </w:r>
      <w:r w:rsidR="00EE28DA" w:rsidRPr="0023122D">
        <w:rPr>
          <w:rFonts w:ascii="Arial" w:hAnsi="Arial" w:cs="Arial"/>
          <w:color w:val="auto"/>
          <w:sz w:val="22"/>
          <w:szCs w:val="22"/>
        </w:rPr>
        <w:t xml:space="preserve">Taken as </w:t>
      </w:r>
      <w:r w:rsidR="00C46C5A" w:rsidRPr="0023122D">
        <w:rPr>
          <w:rFonts w:ascii="Arial" w:hAnsi="Arial" w:cs="Arial"/>
          <w:color w:val="auto"/>
          <w:sz w:val="22"/>
          <w:szCs w:val="22"/>
        </w:rPr>
        <w:t xml:space="preserve">a whole however, </w:t>
      </w:r>
      <w:r w:rsidR="00EE28DA" w:rsidRPr="0023122D">
        <w:rPr>
          <w:rFonts w:ascii="Arial" w:hAnsi="Arial" w:cs="Arial"/>
          <w:color w:val="auto"/>
          <w:sz w:val="22"/>
          <w:szCs w:val="22"/>
        </w:rPr>
        <w:t xml:space="preserve">the Arctic region experienced </w:t>
      </w:r>
      <w:r w:rsidR="00C46C5A" w:rsidRPr="0023122D">
        <w:rPr>
          <w:rFonts w:ascii="Arial" w:hAnsi="Arial" w:cs="Arial"/>
          <w:color w:val="auto"/>
          <w:sz w:val="22"/>
          <w:szCs w:val="22"/>
        </w:rPr>
        <w:t>lower than average precipitation</w:t>
      </w:r>
      <w:r w:rsidR="00EE28DA" w:rsidRPr="0023122D">
        <w:rPr>
          <w:rFonts w:ascii="Arial" w:hAnsi="Arial" w:cs="Arial"/>
          <w:color w:val="auto"/>
          <w:sz w:val="22"/>
          <w:szCs w:val="22"/>
        </w:rPr>
        <w:t xml:space="preserve"> for that same time period.</w:t>
      </w:r>
      <w:r w:rsidR="00EE28DA" w:rsidRPr="0023122D">
        <w:rPr>
          <w:rFonts w:ascii="Arial" w:hAnsi="Arial" w:cs="Arial"/>
          <w:color w:val="auto"/>
          <w:sz w:val="22"/>
          <w:szCs w:val="22"/>
          <w:lang w:val="en-CA"/>
        </w:rPr>
        <w:t xml:space="preserve"> </w:t>
      </w:r>
      <w:r w:rsidR="00C46C5A" w:rsidRPr="0023122D">
        <w:rPr>
          <w:rFonts w:ascii="Arial" w:hAnsi="Arial" w:cs="Arial"/>
          <w:color w:val="auto"/>
          <w:sz w:val="22"/>
          <w:szCs w:val="22"/>
        </w:rPr>
        <w:t>Data from NCEP/NCAR reanalysis was also used to rank precipitation since 1949. The Chukchi Sea region and northwestern Siberia saw their driest summer since 1949.</w:t>
      </w:r>
    </w:p>
    <w:p w:rsidR="00100AD4" w:rsidRPr="0023122D" w:rsidRDefault="00100AD4">
      <w:pPr>
        <w:rPr>
          <w:rFonts w:ascii="Arial" w:hAnsi="Arial" w:cs="Arial"/>
        </w:rPr>
      </w:pPr>
    </w:p>
    <w:p w:rsidR="00100AD4" w:rsidRPr="0023122D" w:rsidRDefault="00100AD4">
      <w:pPr>
        <w:rPr>
          <w:rFonts w:ascii="Arial" w:hAnsi="Arial" w:cs="Arial"/>
          <w:lang w:val="en-CA"/>
        </w:rPr>
      </w:pPr>
    </w:p>
    <w:p w:rsidR="00B45FA5" w:rsidRPr="0023122D" w:rsidRDefault="00B45FA5" w:rsidP="00E336F8">
      <w:pPr>
        <w:ind w:left="-567"/>
        <w:rPr>
          <w:rFonts w:ascii="Arial" w:hAnsi="Arial" w:cs="Arial"/>
          <w:b/>
          <w:sz w:val="30"/>
          <w:szCs w:val="30"/>
          <w:lang w:val="en-CA"/>
        </w:rPr>
      </w:pPr>
      <w:r w:rsidRPr="0023122D">
        <w:rPr>
          <w:rFonts w:ascii="Arial" w:hAnsi="Arial" w:cs="Arial"/>
          <w:b/>
          <w:sz w:val="30"/>
          <w:szCs w:val="30"/>
          <w:lang w:val="en-CA"/>
        </w:rPr>
        <w:t>Sea Ice</w:t>
      </w:r>
    </w:p>
    <w:p w:rsidR="00B45FA5" w:rsidRPr="0023122D" w:rsidRDefault="00B45FA5" w:rsidP="00B45FA5">
      <w:pPr>
        <w:ind w:left="-426"/>
        <w:rPr>
          <w:rFonts w:ascii="Arial" w:hAnsi="Arial" w:cs="Arial"/>
          <w:b/>
          <w:sz w:val="30"/>
          <w:szCs w:val="30"/>
          <w:lang w:val="en-CA"/>
        </w:rPr>
      </w:pPr>
    </w:p>
    <w:p w:rsidR="00000000" w:rsidRPr="00777B53" w:rsidRDefault="00B45FA5" w:rsidP="00777B53">
      <w:pPr>
        <w:jc w:val="both"/>
        <w:rPr>
          <w:rFonts w:ascii="Arial" w:hAnsi="Arial" w:cs="Arial"/>
          <w:sz w:val="22"/>
          <w:szCs w:val="22"/>
        </w:rPr>
      </w:pPr>
      <w:r w:rsidRPr="0023122D">
        <w:rPr>
          <w:rFonts w:ascii="Arial" w:hAnsi="Arial" w:cs="Arial"/>
          <w:b/>
          <w:i/>
          <w:sz w:val="22"/>
          <w:szCs w:val="22"/>
        </w:rPr>
        <w:t>Last season</w:t>
      </w:r>
      <w:r w:rsidRPr="0023122D">
        <w:rPr>
          <w:rFonts w:ascii="Arial" w:hAnsi="Arial" w:cs="Arial"/>
          <w:i/>
          <w:sz w:val="22"/>
          <w:szCs w:val="22"/>
        </w:rPr>
        <w:t>:</w:t>
      </w:r>
      <w:r w:rsidRPr="0023122D">
        <w:rPr>
          <w:rFonts w:ascii="Arial" w:hAnsi="Arial" w:cs="Arial"/>
          <w:sz w:val="22"/>
          <w:szCs w:val="22"/>
        </w:rPr>
        <w:t xml:space="preserve"> </w:t>
      </w:r>
      <w:r w:rsidR="00C46C5A" w:rsidRPr="0023122D">
        <w:rPr>
          <w:rFonts w:ascii="Arial" w:hAnsi="Arial" w:cs="Arial"/>
          <w:color w:val="auto"/>
          <w:sz w:val="22"/>
          <w:szCs w:val="22"/>
        </w:rPr>
        <w:t>The summer 2018 minimum sea ice extent was reached on September 16, 2018, making 2018 the 6</w:t>
      </w:r>
      <w:r w:rsidR="00C46C5A" w:rsidRPr="0023122D">
        <w:rPr>
          <w:rFonts w:ascii="Arial" w:hAnsi="Arial" w:cs="Arial"/>
          <w:color w:val="auto"/>
          <w:sz w:val="22"/>
          <w:szCs w:val="22"/>
          <w:vertAlign w:val="superscript"/>
        </w:rPr>
        <w:t>th</w:t>
      </w:r>
      <w:r w:rsidR="00C46C5A" w:rsidRPr="0023122D">
        <w:rPr>
          <w:rFonts w:ascii="Arial" w:hAnsi="Arial" w:cs="Arial"/>
          <w:color w:val="auto"/>
          <w:sz w:val="22"/>
          <w:szCs w:val="22"/>
        </w:rPr>
        <w:t xml:space="preserve"> minimum sea ice extent since 1979</w:t>
      </w:r>
      <w:r w:rsidR="00B02EFA">
        <w:rPr>
          <w:rFonts w:ascii="Arial" w:hAnsi="Arial" w:cs="Arial"/>
          <w:color w:val="auto"/>
          <w:sz w:val="22"/>
          <w:szCs w:val="22"/>
        </w:rPr>
        <w:t xml:space="preserve"> </w:t>
      </w:r>
      <w:r w:rsidR="00B02EFA" w:rsidRPr="00B02EFA">
        <w:rPr>
          <w:rFonts w:ascii="Arial" w:hAnsi="Arial" w:cs="Arial"/>
          <w:color w:val="auto"/>
          <w:sz w:val="22"/>
          <w:szCs w:val="22"/>
          <w:highlight w:val="yellow"/>
        </w:rPr>
        <w:t>(Figure X)</w:t>
      </w:r>
      <w:r w:rsidR="00C46C5A" w:rsidRPr="00B02EFA">
        <w:rPr>
          <w:rFonts w:ascii="Arial" w:hAnsi="Arial" w:cs="Arial"/>
          <w:color w:val="auto"/>
          <w:sz w:val="22"/>
          <w:szCs w:val="22"/>
          <w:highlight w:val="yellow"/>
        </w:rPr>
        <w:t>.</w:t>
      </w:r>
      <w:r w:rsidR="00C46C5A" w:rsidRPr="0023122D">
        <w:rPr>
          <w:rFonts w:ascii="Arial" w:hAnsi="Arial" w:cs="Arial"/>
          <w:color w:val="auto"/>
          <w:sz w:val="22"/>
          <w:szCs w:val="22"/>
        </w:rPr>
        <w:t xml:space="preserve"> </w:t>
      </w:r>
      <w:r w:rsidR="00EC3681" w:rsidRPr="00777B53">
        <w:rPr>
          <w:rFonts w:ascii="Arial" w:hAnsi="Arial" w:cs="Arial"/>
          <w:sz w:val="22"/>
          <w:szCs w:val="22"/>
          <w:highlight w:val="yellow"/>
        </w:rPr>
        <w:t>Estimates of the sea ice vo</w:t>
      </w:r>
      <w:r w:rsidR="00EC3681" w:rsidRPr="00777B53">
        <w:rPr>
          <w:rFonts w:ascii="Arial" w:hAnsi="Arial" w:cs="Arial"/>
          <w:sz w:val="22"/>
          <w:szCs w:val="22"/>
          <w:highlight w:val="yellow"/>
        </w:rPr>
        <w:t>lume, based on numerical reanalysis (HYCOM-CICE, PIOMAS), show similar 6</w:t>
      </w:r>
      <w:r w:rsidR="00EC3681" w:rsidRPr="00777B53">
        <w:rPr>
          <w:rFonts w:ascii="Arial" w:hAnsi="Arial" w:cs="Arial"/>
          <w:sz w:val="22"/>
          <w:szCs w:val="22"/>
          <w:highlight w:val="yellow"/>
          <w:vertAlign w:val="superscript"/>
        </w:rPr>
        <w:t>th</w:t>
      </w:r>
      <w:r w:rsidR="00EC3681" w:rsidRPr="00777B53">
        <w:rPr>
          <w:rFonts w:ascii="Arial" w:hAnsi="Arial" w:cs="Arial"/>
          <w:sz w:val="22"/>
          <w:szCs w:val="22"/>
          <w:highlight w:val="yellow"/>
        </w:rPr>
        <w:t xml:space="preserve"> minimum in row </w:t>
      </w:r>
      <w:r w:rsidR="00777B53" w:rsidRPr="00777B53">
        <w:rPr>
          <w:rFonts w:ascii="Arial" w:hAnsi="Arial" w:cs="Arial"/>
          <w:sz w:val="22"/>
          <w:szCs w:val="22"/>
          <w:highlight w:val="yellow"/>
        </w:rPr>
        <w:t xml:space="preserve">from 1979 </w:t>
      </w:r>
      <w:r w:rsidR="00EC3681" w:rsidRPr="00777B53">
        <w:rPr>
          <w:rFonts w:ascii="Arial" w:hAnsi="Arial" w:cs="Arial"/>
          <w:sz w:val="22"/>
          <w:szCs w:val="22"/>
          <w:highlight w:val="yellow"/>
        </w:rPr>
        <w:t>and higher ice th</w:t>
      </w:r>
      <w:r w:rsidR="00777B53" w:rsidRPr="00777B53">
        <w:rPr>
          <w:rFonts w:ascii="Arial" w:hAnsi="Arial" w:cs="Arial"/>
          <w:sz w:val="22"/>
          <w:szCs w:val="22"/>
          <w:highlight w:val="yellow"/>
        </w:rPr>
        <w:t>icknesses in comparison to 2017</w:t>
      </w:r>
      <w:r w:rsidR="00EC3681" w:rsidRPr="00777B53">
        <w:rPr>
          <w:rFonts w:ascii="Arial" w:hAnsi="Arial" w:cs="Arial"/>
          <w:sz w:val="22"/>
          <w:szCs w:val="22"/>
          <w:highlight w:val="yellow"/>
        </w:rPr>
        <w:t>. A precursor of higher sea ice thicknesses in the Central Arctic could be higher precipitation during pre-melt season (April).</w:t>
      </w:r>
    </w:p>
    <w:p w:rsidR="00777B53" w:rsidRDefault="00777B53" w:rsidP="00C46C5A">
      <w:pPr>
        <w:jc w:val="both"/>
        <w:rPr>
          <w:rFonts w:ascii="Arial" w:hAnsi="Arial" w:cs="Arial"/>
          <w:color w:val="auto"/>
          <w:sz w:val="22"/>
          <w:szCs w:val="22"/>
        </w:rPr>
      </w:pPr>
    </w:p>
    <w:p w:rsidR="00777B53" w:rsidRDefault="00C46C5A" w:rsidP="00C46C5A">
      <w:pPr>
        <w:jc w:val="both"/>
        <w:rPr>
          <w:rFonts w:ascii="Arial" w:hAnsi="Arial" w:cs="Arial"/>
          <w:color w:val="auto"/>
          <w:sz w:val="22"/>
          <w:szCs w:val="22"/>
        </w:rPr>
      </w:pPr>
      <w:r w:rsidRPr="0023122D">
        <w:rPr>
          <w:rFonts w:ascii="Arial" w:hAnsi="Arial" w:cs="Arial"/>
          <w:color w:val="auto"/>
          <w:sz w:val="22"/>
          <w:szCs w:val="22"/>
        </w:rPr>
        <w:t xml:space="preserve">High spatial variability in sea ice conditions between the Canadian and Eurasian Arctic was observed during the entire 2018 summer period. Sea ice extent for the Canadian Arctic was higher than the last decade’s median extend, with the Northwest Passage remaining blocked for ice free navigation. Simultaneously, parts of the Eurasian Arctic (southeastern Barents, Kara, and Eastern Siberian Seas) showed close to the 1998-2017 median ice coverage until the middle of July, with further extreme low sea ice extent in the most parts of this region until the end of September. </w:t>
      </w:r>
    </w:p>
    <w:p w:rsidR="00777B53" w:rsidRDefault="00777B53" w:rsidP="00C46C5A">
      <w:pPr>
        <w:jc w:val="both"/>
        <w:rPr>
          <w:rFonts w:ascii="Arial" w:hAnsi="Arial" w:cs="Arial"/>
          <w:color w:val="auto"/>
          <w:sz w:val="22"/>
          <w:szCs w:val="22"/>
        </w:rPr>
      </w:pPr>
    </w:p>
    <w:p w:rsidR="00C46C5A" w:rsidRPr="0023122D" w:rsidRDefault="00C46C5A" w:rsidP="00C46C5A">
      <w:pPr>
        <w:jc w:val="both"/>
        <w:rPr>
          <w:rFonts w:ascii="Arial" w:hAnsi="Arial" w:cs="Arial"/>
          <w:color w:val="auto"/>
          <w:sz w:val="22"/>
          <w:szCs w:val="22"/>
        </w:rPr>
      </w:pPr>
      <w:r w:rsidRPr="0023122D">
        <w:rPr>
          <w:rFonts w:ascii="Arial" w:hAnsi="Arial" w:cs="Arial"/>
          <w:color w:val="auto"/>
          <w:sz w:val="22"/>
          <w:szCs w:val="22"/>
        </w:rPr>
        <w:t xml:space="preserve">Until the end of October 2018, persistent strong westerly winds </w:t>
      </w:r>
      <w:r w:rsidR="00B02EFA">
        <w:rPr>
          <w:rFonts w:ascii="Arial" w:hAnsi="Arial" w:cs="Arial"/>
          <w:color w:val="auto"/>
          <w:sz w:val="22"/>
          <w:szCs w:val="22"/>
        </w:rPr>
        <w:t>(</w:t>
      </w:r>
      <w:r w:rsidR="00B02EFA" w:rsidRPr="00B02EFA">
        <w:rPr>
          <w:rFonts w:ascii="Arial" w:hAnsi="Arial" w:cs="Arial"/>
          <w:color w:val="auto"/>
          <w:sz w:val="22"/>
          <w:szCs w:val="22"/>
          <w:highlight w:val="yellow"/>
        </w:rPr>
        <w:t xml:space="preserve">North Atlantic Oscillation index </w:t>
      </w:r>
      <w:r w:rsidR="00777B53">
        <w:rPr>
          <w:rFonts w:ascii="Arial" w:hAnsi="Arial" w:cs="Arial"/>
          <w:color w:val="auto"/>
          <w:sz w:val="22"/>
          <w:szCs w:val="22"/>
          <w:highlight w:val="yellow"/>
        </w:rPr>
        <w:t>–</w:t>
      </w:r>
      <w:r w:rsidR="00B02EFA" w:rsidRPr="00B02EFA">
        <w:rPr>
          <w:rFonts w:ascii="Arial" w:hAnsi="Arial" w:cs="Arial"/>
          <w:color w:val="auto"/>
          <w:sz w:val="22"/>
          <w:szCs w:val="22"/>
          <w:highlight w:val="yellow"/>
        </w:rPr>
        <w:t xml:space="preserve"> NAO</w:t>
      </w:r>
      <w:r w:rsidR="00777B53">
        <w:rPr>
          <w:rFonts w:ascii="Arial" w:hAnsi="Arial" w:cs="Arial"/>
          <w:color w:val="auto"/>
          <w:sz w:val="22"/>
          <w:szCs w:val="22"/>
        </w:rPr>
        <w:t xml:space="preserve"> &gt;0</w:t>
      </w:r>
      <w:r w:rsidR="00B02EFA">
        <w:rPr>
          <w:rFonts w:ascii="Arial" w:hAnsi="Arial" w:cs="Arial"/>
          <w:color w:val="auto"/>
          <w:sz w:val="22"/>
          <w:szCs w:val="22"/>
        </w:rPr>
        <w:t xml:space="preserve">) </w:t>
      </w:r>
      <w:r w:rsidRPr="00B02EFA">
        <w:rPr>
          <w:rFonts w:ascii="Arial" w:hAnsi="Arial" w:cs="Arial"/>
          <w:color w:val="auto"/>
          <w:sz w:val="22"/>
          <w:szCs w:val="22"/>
          <w:highlight w:val="yellow"/>
        </w:rPr>
        <w:t>continue</w:t>
      </w:r>
      <w:r w:rsidR="00B02EFA" w:rsidRPr="00B02EFA">
        <w:rPr>
          <w:rFonts w:ascii="Arial" w:hAnsi="Arial" w:cs="Arial"/>
          <w:color w:val="auto"/>
          <w:sz w:val="22"/>
          <w:szCs w:val="22"/>
          <w:highlight w:val="yellow"/>
        </w:rPr>
        <w:t>d</w:t>
      </w:r>
      <w:r w:rsidRPr="0023122D">
        <w:rPr>
          <w:rFonts w:ascii="Arial" w:hAnsi="Arial" w:cs="Arial"/>
          <w:color w:val="auto"/>
          <w:sz w:val="22"/>
          <w:szCs w:val="22"/>
        </w:rPr>
        <w:t xml:space="preserve"> to generate a positive surface air temperature anomaly over the Eastern and Central Arctic (with the exception of the Canadian archipelago and the Hudson Bay regions); </w:t>
      </w:r>
      <w:r w:rsidRPr="00B02EFA">
        <w:rPr>
          <w:rFonts w:ascii="Arial" w:hAnsi="Arial" w:cs="Arial"/>
          <w:color w:val="auto"/>
          <w:sz w:val="22"/>
          <w:szCs w:val="22"/>
          <w:highlight w:val="yellow"/>
        </w:rPr>
        <w:t>slow</w:t>
      </w:r>
      <w:r w:rsidR="00B02EFA" w:rsidRPr="00B02EFA">
        <w:rPr>
          <w:rFonts w:ascii="Arial" w:hAnsi="Arial" w:cs="Arial"/>
          <w:color w:val="auto"/>
          <w:sz w:val="22"/>
          <w:szCs w:val="22"/>
          <w:highlight w:val="yellow"/>
        </w:rPr>
        <w:t>ing</w:t>
      </w:r>
      <w:r w:rsidRPr="00B02EFA">
        <w:rPr>
          <w:rFonts w:ascii="Arial" w:hAnsi="Arial" w:cs="Arial"/>
          <w:color w:val="auto"/>
          <w:sz w:val="22"/>
          <w:szCs w:val="22"/>
          <w:highlight w:val="yellow"/>
        </w:rPr>
        <w:t xml:space="preserve"> the sea ice formation</w:t>
      </w:r>
      <w:r w:rsidRPr="0023122D">
        <w:rPr>
          <w:rFonts w:ascii="Arial" w:hAnsi="Arial" w:cs="Arial"/>
          <w:color w:val="auto"/>
          <w:sz w:val="22"/>
          <w:szCs w:val="22"/>
        </w:rPr>
        <w:t xml:space="preserve"> process in those areas.</w:t>
      </w:r>
    </w:p>
    <w:p w:rsidR="00B45FA5" w:rsidRDefault="00B45FA5" w:rsidP="00C46C5A">
      <w:pPr>
        <w:ind w:left="-426" w:right="-22"/>
        <w:jc w:val="both"/>
        <w:rPr>
          <w:rFonts w:ascii="Arial" w:hAnsi="Arial" w:cs="Arial"/>
          <w:b/>
          <w:sz w:val="30"/>
          <w:szCs w:val="30"/>
        </w:rPr>
      </w:pPr>
    </w:p>
    <w:p w:rsidR="0074481A" w:rsidRDefault="0074481A" w:rsidP="00C46C5A">
      <w:pPr>
        <w:ind w:left="-426" w:right="-22"/>
        <w:jc w:val="both"/>
        <w:rPr>
          <w:rFonts w:ascii="Arial" w:hAnsi="Arial" w:cs="Arial"/>
          <w:b/>
          <w:sz w:val="30"/>
          <w:szCs w:val="30"/>
        </w:rPr>
      </w:pPr>
    </w:p>
    <w:p w:rsidR="0074481A" w:rsidRPr="0023122D" w:rsidRDefault="0074481A" w:rsidP="00C46C5A">
      <w:pPr>
        <w:ind w:left="-426" w:right="-22"/>
        <w:jc w:val="both"/>
        <w:rPr>
          <w:rFonts w:ascii="Arial" w:hAnsi="Arial" w:cs="Arial"/>
          <w:b/>
          <w:sz w:val="30"/>
          <w:szCs w:val="30"/>
        </w:rPr>
      </w:pPr>
    </w:p>
    <w:p w:rsidR="00B45FA5" w:rsidRPr="0023122D" w:rsidRDefault="00B02EFA" w:rsidP="00B45FA5">
      <w:pPr>
        <w:ind w:left="-426" w:right="571"/>
        <w:jc w:val="center"/>
        <w:rPr>
          <w:rFonts w:ascii="Arial" w:hAnsi="Arial" w:cs="Arial"/>
          <w:noProof/>
        </w:rPr>
      </w:pPr>
      <w:r>
        <w:rPr>
          <w:rFonts w:ascii="Arial" w:hAnsi="Arial" w:cs="Arial"/>
          <w:noProof/>
          <w:lang w:val="ru-RU" w:eastAsia="ru-RU"/>
        </w:rPr>
        <w:drawing>
          <wp:inline distT="0" distB="0" distL="0" distR="0">
            <wp:extent cx="5943600" cy="6245710"/>
            <wp:effectExtent l="0" t="0" r="0" b="3175"/>
            <wp:docPr id="1" name="Рисунок 1" descr="C:\wmo\PRCC\PARCOF-2\blended_arcice_20180917-20180920_ct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mo\PRCC\PARCOF-2\blended_arcice_20180917-20180920_ct_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6245710"/>
                    </a:xfrm>
                    <a:prstGeom prst="rect">
                      <a:avLst/>
                    </a:prstGeom>
                    <a:noFill/>
                    <a:ln>
                      <a:noFill/>
                    </a:ln>
                  </pic:spPr>
                </pic:pic>
              </a:graphicData>
            </a:graphic>
          </wp:inline>
        </w:drawing>
      </w:r>
    </w:p>
    <w:p w:rsidR="00B45FA5" w:rsidRPr="0023122D" w:rsidRDefault="00B45FA5" w:rsidP="00B45FA5">
      <w:pPr>
        <w:tabs>
          <w:tab w:val="left" w:pos="7655"/>
        </w:tabs>
        <w:ind w:left="993" w:right="1705"/>
        <w:rPr>
          <w:rFonts w:ascii="Arial" w:hAnsi="Arial" w:cs="Arial"/>
          <w:b/>
          <w:noProof/>
          <w:sz w:val="18"/>
          <w:szCs w:val="18"/>
        </w:rPr>
      </w:pPr>
      <w:r w:rsidRPr="0023122D">
        <w:rPr>
          <w:rFonts w:ascii="Arial" w:hAnsi="Arial" w:cs="Arial"/>
          <w:b/>
          <w:noProof/>
          <w:sz w:val="18"/>
          <w:szCs w:val="18"/>
        </w:rPr>
        <w:t xml:space="preserve">Figure 5: Blended Arctic ice chart (AARI, CIS, NIC) </w:t>
      </w:r>
      <w:r w:rsidRPr="00B02EFA">
        <w:rPr>
          <w:rFonts w:ascii="Arial" w:hAnsi="Arial" w:cs="Arial"/>
          <w:b/>
          <w:noProof/>
          <w:sz w:val="18"/>
          <w:szCs w:val="18"/>
          <w:highlight w:val="yellow"/>
        </w:rPr>
        <w:t>for 1</w:t>
      </w:r>
      <w:r w:rsidR="00B02EFA" w:rsidRPr="00B02EFA">
        <w:rPr>
          <w:rFonts w:ascii="Arial" w:hAnsi="Arial" w:cs="Arial"/>
          <w:b/>
          <w:noProof/>
          <w:sz w:val="18"/>
          <w:szCs w:val="18"/>
          <w:highlight w:val="yellow"/>
        </w:rPr>
        <w:t>7</w:t>
      </w:r>
      <w:r w:rsidRPr="00B02EFA">
        <w:rPr>
          <w:rFonts w:ascii="Arial" w:hAnsi="Arial" w:cs="Arial"/>
          <w:b/>
          <w:noProof/>
          <w:sz w:val="18"/>
          <w:szCs w:val="18"/>
          <w:highlight w:val="yellow"/>
        </w:rPr>
        <w:t>-2</w:t>
      </w:r>
      <w:r w:rsidR="00B02EFA" w:rsidRPr="00B02EFA">
        <w:rPr>
          <w:rFonts w:ascii="Arial" w:hAnsi="Arial" w:cs="Arial"/>
          <w:b/>
          <w:noProof/>
          <w:sz w:val="18"/>
          <w:szCs w:val="18"/>
          <w:highlight w:val="yellow"/>
        </w:rPr>
        <w:t>0</w:t>
      </w:r>
      <w:r w:rsidRPr="00B02EFA">
        <w:rPr>
          <w:rFonts w:ascii="Arial" w:hAnsi="Arial" w:cs="Arial"/>
          <w:b/>
          <w:noProof/>
          <w:sz w:val="18"/>
          <w:szCs w:val="18"/>
          <w:highlight w:val="yellow"/>
        </w:rPr>
        <w:t xml:space="preserve"> </w:t>
      </w:r>
      <w:r w:rsidR="00B02EFA" w:rsidRPr="00B02EFA">
        <w:rPr>
          <w:rFonts w:ascii="Arial" w:hAnsi="Arial" w:cs="Arial"/>
          <w:b/>
          <w:noProof/>
          <w:sz w:val="18"/>
          <w:szCs w:val="18"/>
          <w:highlight w:val="yellow"/>
        </w:rPr>
        <w:t>September</w:t>
      </w:r>
      <w:r w:rsidRPr="00B02EFA">
        <w:rPr>
          <w:rFonts w:ascii="Arial" w:hAnsi="Arial" w:cs="Arial"/>
          <w:b/>
          <w:noProof/>
          <w:sz w:val="18"/>
          <w:szCs w:val="18"/>
          <w:highlight w:val="yellow"/>
        </w:rPr>
        <w:t xml:space="preserve"> 2018</w:t>
      </w:r>
      <w:r w:rsidRPr="0023122D">
        <w:rPr>
          <w:rFonts w:ascii="Arial" w:hAnsi="Arial" w:cs="Arial"/>
          <w:b/>
          <w:noProof/>
          <w:sz w:val="18"/>
          <w:szCs w:val="18"/>
        </w:rPr>
        <w:t xml:space="preserve"> and ice edge occurrences for </w:t>
      </w:r>
      <w:r w:rsidR="005E2B01" w:rsidRPr="00B02EFA">
        <w:rPr>
          <w:rFonts w:ascii="Arial" w:hAnsi="Arial" w:cs="Arial"/>
          <w:b/>
          <w:noProof/>
          <w:color w:val="auto"/>
          <w:sz w:val="18"/>
          <w:szCs w:val="18"/>
          <w:highlight w:val="yellow"/>
        </w:rPr>
        <w:t>1</w:t>
      </w:r>
      <w:r w:rsidR="00B02EFA" w:rsidRPr="00B02EFA">
        <w:rPr>
          <w:rFonts w:ascii="Arial" w:hAnsi="Arial" w:cs="Arial"/>
          <w:b/>
          <w:noProof/>
          <w:color w:val="auto"/>
          <w:sz w:val="18"/>
          <w:szCs w:val="18"/>
          <w:highlight w:val="yellow"/>
        </w:rPr>
        <w:t>6</w:t>
      </w:r>
      <w:r w:rsidRPr="00B02EFA">
        <w:rPr>
          <w:rFonts w:ascii="Arial" w:hAnsi="Arial" w:cs="Arial"/>
          <w:color w:val="auto"/>
          <w:highlight w:val="yellow"/>
        </w:rPr>
        <w:t>–</w:t>
      </w:r>
      <w:r w:rsidRPr="00B02EFA">
        <w:rPr>
          <w:rFonts w:ascii="Arial" w:hAnsi="Arial" w:cs="Arial"/>
          <w:b/>
          <w:noProof/>
          <w:color w:val="auto"/>
          <w:sz w:val="18"/>
          <w:szCs w:val="18"/>
          <w:highlight w:val="yellow"/>
        </w:rPr>
        <w:t>2</w:t>
      </w:r>
      <w:r w:rsidR="00B02EFA" w:rsidRPr="00B02EFA">
        <w:rPr>
          <w:rFonts w:ascii="Arial" w:hAnsi="Arial" w:cs="Arial"/>
          <w:b/>
          <w:noProof/>
          <w:color w:val="auto"/>
          <w:sz w:val="18"/>
          <w:szCs w:val="18"/>
          <w:highlight w:val="yellow"/>
        </w:rPr>
        <w:t>0</w:t>
      </w:r>
      <w:r w:rsidRPr="00B02EFA">
        <w:rPr>
          <w:rFonts w:ascii="Arial" w:hAnsi="Arial" w:cs="Arial"/>
          <w:b/>
          <w:noProof/>
          <w:color w:val="auto"/>
          <w:sz w:val="18"/>
          <w:szCs w:val="18"/>
          <w:highlight w:val="yellow"/>
        </w:rPr>
        <w:t xml:space="preserve"> </w:t>
      </w:r>
      <w:r w:rsidR="00B02EFA" w:rsidRPr="00B02EFA">
        <w:rPr>
          <w:rFonts w:ascii="Arial" w:hAnsi="Arial" w:cs="Arial"/>
          <w:b/>
          <w:noProof/>
          <w:color w:val="auto"/>
          <w:sz w:val="18"/>
          <w:szCs w:val="18"/>
          <w:highlight w:val="yellow"/>
        </w:rPr>
        <w:t>September</w:t>
      </w:r>
      <w:r w:rsidRPr="00B02EFA">
        <w:rPr>
          <w:rFonts w:ascii="Arial" w:hAnsi="Arial" w:cs="Arial"/>
          <w:b/>
          <w:noProof/>
          <w:color w:val="auto"/>
          <w:sz w:val="18"/>
          <w:szCs w:val="18"/>
          <w:highlight w:val="yellow"/>
        </w:rPr>
        <w:t xml:space="preserve"> </w:t>
      </w:r>
      <w:r w:rsidRPr="00B02EFA">
        <w:rPr>
          <w:rFonts w:ascii="Arial" w:hAnsi="Arial" w:cs="Arial"/>
          <w:b/>
          <w:noProof/>
          <w:sz w:val="18"/>
          <w:szCs w:val="18"/>
          <w:highlight w:val="yellow"/>
        </w:rPr>
        <w:t>for 1998</w:t>
      </w:r>
      <w:r w:rsidRPr="00B02EFA">
        <w:rPr>
          <w:rFonts w:ascii="Arial" w:hAnsi="Arial" w:cs="Arial"/>
          <w:highlight w:val="yellow"/>
        </w:rPr>
        <w:t>–</w:t>
      </w:r>
      <w:r w:rsidRPr="00B02EFA">
        <w:rPr>
          <w:rFonts w:ascii="Arial" w:hAnsi="Arial" w:cs="Arial"/>
          <w:b/>
          <w:noProof/>
          <w:sz w:val="18"/>
          <w:szCs w:val="18"/>
          <w:highlight w:val="yellow"/>
        </w:rPr>
        <w:t>2017</w:t>
      </w:r>
      <w:r w:rsidRPr="0023122D">
        <w:rPr>
          <w:rFonts w:ascii="Arial" w:hAnsi="Arial" w:cs="Arial"/>
          <w:b/>
          <w:noProof/>
          <w:sz w:val="18"/>
          <w:szCs w:val="18"/>
        </w:rPr>
        <w:t>.</w:t>
      </w:r>
    </w:p>
    <w:p w:rsidR="00100AD4" w:rsidRPr="0023122D" w:rsidRDefault="00100AD4">
      <w:pPr>
        <w:rPr>
          <w:rFonts w:ascii="Arial" w:hAnsi="Arial" w:cs="Arial"/>
        </w:rPr>
      </w:pPr>
    </w:p>
    <w:p w:rsidR="00BF49E0" w:rsidRDefault="00BF49E0">
      <w:pPr>
        <w:rPr>
          <w:rFonts w:ascii="Arial" w:hAnsi="Arial" w:cs="Arial"/>
          <w:lang w:val="en-CA"/>
        </w:rPr>
      </w:pPr>
    </w:p>
    <w:p w:rsidR="00777B53" w:rsidRPr="00EC3681" w:rsidRDefault="00777B53" w:rsidP="00777B53">
      <w:pPr>
        <w:rPr>
          <w:rFonts w:ascii="Arial" w:hAnsi="Arial" w:cs="Arial"/>
          <w:highlight w:val="yellow"/>
        </w:rPr>
      </w:pPr>
      <w:r w:rsidRPr="00EC3681">
        <w:rPr>
          <w:rFonts w:ascii="Arial" w:hAnsi="Arial" w:cs="Arial"/>
          <w:b/>
          <w:bCs/>
          <w:sz w:val="30"/>
          <w:szCs w:val="30"/>
          <w:highlight w:val="yellow"/>
        </w:rPr>
        <w:t>Terrestrial Arctic Snow</w:t>
      </w:r>
    </w:p>
    <w:p w:rsidR="00344301" w:rsidRPr="00EC3681" w:rsidRDefault="00344301" w:rsidP="00344301">
      <w:pPr>
        <w:rPr>
          <w:rFonts w:ascii="Arial" w:hAnsi="Arial" w:cs="Arial"/>
          <w:b/>
          <w:bCs/>
          <w:highlight w:val="yellow"/>
        </w:rPr>
      </w:pPr>
    </w:p>
    <w:p w:rsidR="00EC3681" w:rsidRPr="00EC3681" w:rsidRDefault="00344301" w:rsidP="00EC3681">
      <w:pPr>
        <w:jc w:val="both"/>
        <w:rPr>
          <w:rFonts w:ascii="Arial" w:hAnsi="Arial" w:cs="Arial"/>
          <w:sz w:val="22"/>
          <w:highlight w:val="yellow"/>
        </w:rPr>
      </w:pPr>
      <w:r w:rsidRPr="00EC3681">
        <w:rPr>
          <w:rFonts w:ascii="Arial" w:hAnsi="Arial" w:cs="Arial"/>
          <w:bCs/>
          <w:sz w:val="22"/>
          <w:highlight w:val="yellow"/>
        </w:rPr>
        <w:t xml:space="preserve">Pre-summer 2018 period: </w:t>
      </w:r>
      <w:r w:rsidR="00EC3681" w:rsidRPr="00EC3681">
        <w:rPr>
          <w:rFonts w:ascii="Arial" w:hAnsi="Arial" w:cs="Arial"/>
          <w:bCs/>
          <w:sz w:val="22"/>
          <w:highlight w:val="yellow"/>
        </w:rPr>
        <w:t xml:space="preserve">Snow accumulation during </w:t>
      </w:r>
      <w:r w:rsidR="00EC3681" w:rsidRPr="00EC3681">
        <w:rPr>
          <w:rFonts w:ascii="Arial" w:hAnsi="Arial" w:cs="Arial"/>
          <w:bCs/>
          <w:sz w:val="22"/>
          <w:highlight w:val="yellow"/>
        </w:rPr>
        <w:t xml:space="preserve">the 2017/18 winter (till June 2018) </w:t>
      </w:r>
      <w:r w:rsidR="00EC3681" w:rsidRPr="00EC3681">
        <w:rPr>
          <w:rFonts w:ascii="Arial" w:hAnsi="Arial" w:cs="Arial"/>
          <w:bCs/>
          <w:sz w:val="22"/>
          <w:highlight w:val="yellow"/>
        </w:rPr>
        <w:t>was above average across both the North American and Eurasian Arctic</w:t>
      </w:r>
      <w:r w:rsidR="00EC3681" w:rsidRPr="00EC3681">
        <w:rPr>
          <w:rFonts w:ascii="Arial" w:hAnsi="Arial" w:cs="Arial"/>
          <w:sz w:val="22"/>
          <w:highlight w:val="yellow"/>
        </w:rPr>
        <w:t>, consistent with an early start to the snow season in the fall (therefore a longer accumulation period</w:t>
      </w:r>
      <w:r w:rsidR="00EC3681" w:rsidRPr="00EC3681">
        <w:rPr>
          <w:rFonts w:ascii="Arial" w:hAnsi="Arial" w:cs="Arial"/>
          <w:sz w:val="22"/>
          <w:highlight w:val="yellow"/>
        </w:rPr>
        <w:t>) and above-average winter snowfall.</w:t>
      </w:r>
    </w:p>
    <w:p w:rsidR="00000000" w:rsidRPr="00EC3681" w:rsidRDefault="00EC3681" w:rsidP="00EC3681">
      <w:pPr>
        <w:jc w:val="both"/>
        <w:rPr>
          <w:rFonts w:ascii="Arial" w:hAnsi="Arial" w:cs="Arial"/>
          <w:sz w:val="22"/>
          <w:highlight w:val="yellow"/>
        </w:rPr>
      </w:pPr>
      <w:r w:rsidRPr="00EC3681">
        <w:rPr>
          <w:rFonts w:ascii="Arial" w:hAnsi="Arial" w:cs="Arial"/>
          <w:sz w:val="22"/>
          <w:highlight w:val="yellow"/>
        </w:rPr>
        <w:lastRenderedPageBreak/>
        <w:t>Snow cover extent for Eurasia was above average during April, slightly above average for May, and below average by June (relative to the 1981-2010 average)</w:t>
      </w:r>
      <w:r w:rsidRPr="00EC3681">
        <w:rPr>
          <w:rFonts w:ascii="Arial" w:hAnsi="Arial" w:cs="Arial"/>
          <w:sz w:val="22"/>
          <w:highlight w:val="yellow"/>
        </w:rPr>
        <w:t xml:space="preserve">. This month-to-month change is consistent with unusually high early spring accumulation combined with rapid late spring snow loss. </w:t>
      </w:r>
      <w:r w:rsidRPr="00EC3681">
        <w:rPr>
          <w:rFonts w:ascii="Arial" w:hAnsi="Arial" w:cs="Arial"/>
          <w:sz w:val="22"/>
          <w:highlight w:val="yellow"/>
        </w:rPr>
        <w:t>Despite relatively high spring snow accumulation and snow c</w:t>
      </w:r>
      <w:r w:rsidRPr="00EC3681">
        <w:rPr>
          <w:rFonts w:ascii="Arial" w:hAnsi="Arial" w:cs="Arial"/>
          <w:sz w:val="22"/>
          <w:highlight w:val="yellow"/>
        </w:rPr>
        <w:t xml:space="preserve">over extent over the Arctic during the previous two spring seasons, long-term trends remain negative. </w:t>
      </w:r>
    </w:p>
    <w:p w:rsidR="00EC3681" w:rsidRPr="00EC3681" w:rsidRDefault="00EC3681" w:rsidP="00EC3681">
      <w:pPr>
        <w:jc w:val="both"/>
        <w:rPr>
          <w:rFonts w:ascii="Arial" w:hAnsi="Arial" w:cs="Arial"/>
          <w:sz w:val="22"/>
          <w:highlight w:val="yellow"/>
        </w:rPr>
      </w:pPr>
    </w:p>
    <w:p w:rsidR="00EC3681" w:rsidRPr="00344301" w:rsidRDefault="00EC3681" w:rsidP="00EC3681">
      <w:pPr>
        <w:jc w:val="both"/>
        <w:rPr>
          <w:rFonts w:ascii="Arial" w:hAnsi="Arial" w:cs="Arial"/>
          <w:sz w:val="22"/>
        </w:rPr>
      </w:pPr>
      <w:r w:rsidRPr="00EC3681">
        <w:rPr>
          <w:rFonts w:ascii="Arial" w:hAnsi="Arial" w:cs="Arial"/>
          <w:sz w:val="22"/>
          <w:highlight w:val="yellow"/>
        </w:rPr>
        <w:t>Data from the Snow Watch/WMO GCW was used to summarize terrestrial Arctic snow conditions.</w:t>
      </w:r>
    </w:p>
    <w:p w:rsidR="00777B53" w:rsidRPr="00777B53" w:rsidRDefault="00777B53">
      <w:pPr>
        <w:rPr>
          <w:rFonts w:ascii="Arial" w:hAnsi="Arial" w:cs="Arial"/>
        </w:rPr>
      </w:pPr>
    </w:p>
    <w:p w:rsidR="0074481A" w:rsidRDefault="0074481A" w:rsidP="00EC3681">
      <w:pPr>
        <w:jc w:val="center"/>
        <w:rPr>
          <w:rFonts w:ascii="Arial" w:hAnsi="Arial" w:cs="Arial"/>
          <w:lang w:val="en-CA"/>
        </w:rPr>
      </w:pPr>
      <w:r w:rsidRPr="0074481A">
        <w:rPr>
          <w:rFonts w:ascii="Arial" w:hAnsi="Arial" w:cs="Arial"/>
          <w:lang w:val="ru-RU"/>
        </w:rPr>
        <w:drawing>
          <wp:inline distT="0" distB="0" distL="0" distR="0" wp14:anchorId="7B5B97C4" wp14:editId="03DA3DA2">
            <wp:extent cx="5104263" cy="2548180"/>
            <wp:effectExtent l="0" t="0" r="1270" b="5080"/>
            <wp:docPr id="81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5"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8409" cy="2545258"/>
                    </a:xfrm>
                    <a:prstGeom prst="rect">
                      <a:avLst/>
                    </a:prstGeom>
                    <a:noFill/>
                    <a:ln>
                      <a:noFill/>
                    </a:ln>
                    <a:effectLst/>
                    <a:extLst/>
                  </pic:spPr>
                </pic:pic>
              </a:graphicData>
            </a:graphic>
          </wp:inline>
        </w:drawing>
      </w:r>
    </w:p>
    <w:p w:rsidR="0074481A" w:rsidRPr="0074481A" w:rsidRDefault="00EC3681" w:rsidP="00EC3681">
      <w:pPr>
        <w:ind w:left="1440" w:right="1418"/>
        <w:rPr>
          <w:rFonts w:ascii="Arial" w:hAnsi="Arial" w:cs="Arial"/>
          <w:b/>
          <w:sz w:val="18"/>
          <w:szCs w:val="18"/>
        </w:rPr>
      </w:pPr>
      <w:r>
        <w:rPr>
          <w:rFonts w:ascii="Arial" w:hAnsi="Arial" w:cs="Arial"/>
          <w:b/>
          <w:sz w:val="18"/>
          <w:szCs w:val="18"/>
        </w:rPr>
        <w:t xml:space="preserve">Figure X: </w:t>
      </w:r>
      <w:r w:rsidR="0074481A" w:rsidRPr="0074481A">
        <w:rPr>
          <w:rFonts w:ascii="Arial" w:hAnsi="Arial" w:cs="Arial"/>
          <w:b/>
          <w:sz w:val="18"/>
          <w:szCs w:val="18"/>
        </w:rPr>
        <w:t xml:space="preserve">Snow </w:t>
      </w:r>
      <w:proofErr w:type="gramStart"/>
      <w:r w:rsidR="0074481A" w:rsidRPr="0074481A">
        <w:rPr>
          <w:rFonts w:ascii="Arial" w:hAnsi="Arial" w:cs="Arial"/>
          <w:b/>
          <w:sz w:val="18"/>
          <w:szCs w:val="18"/>
        </w:rPr>
        <w:t>cover</w:t>
      </w:r>
      <w:proofErr w:type="gramEnd"/>
      <w:r w:rsidR="0074481A" w:rsidRPr="0074481A">
        <w:rPr>
          <w:rFonts w:ascii="Arial" w:hAnsi="Arial" w:cs="Arial"/>
          <w:b/>
          <w:sz w:val="18"/>
          <w:szCs w:val="18"/>
        </w:rPr>
        <w:t xml:space="preserve"> duration (SCD in days) departures (difference from 1998-2010 mean) for the 2017-2018 snow year: (a) fall; and (b) spring. The grey circle marks the latitude 60° N. Source: NOAA IMS data record. </w:t>
      </w:r>
      <w:proofErr w:type="gramStart"/>
      <w:r w:rsidR="0074481A" w:rsidRPr="0074481A">
        <w:rPr>
          <w:rFonts w:ascii="Arial" w:hAnsi="Arial" w:cs="Arial"/>
          <w:b/>
          <w:sz w:val="18"/>
          <w:szCs w:val="18"/>
        </w:rPr>
        <w:t xml:space="preserve">[2018 Arctic Report Card, L. </w:t>
      </w:r>
      <w:proofErr w:type="spellStart"/>
      <w:r w:rsidR="0074481A" w:rsidRPr="0074481A">
        <w:rPr>
          <w:rFonts w:ascii="Arial" w:hAnsi="Arial" w:cs="Arial"/>
          <w:b/>
          <w:sz w:val="18"/>
          <w:szCs w:val="18"/>
        </w:rPr>
        <w:t>Mudryk</w:t>
      </w:r>
      <w:proofErr w:type="spellEnd"/>
      <w:r w:rsidR="0074481A" w:rsidRPr="0074481A">
        <w:rPr>
          <w:rFonts w:ascii="Arial" w:hAnsi="Arial" w:cs="Arial"/>
          <w:b/>
          <w:sz w:val="18"/>
          <w:szCs w:val="18"/>
        </w:rPr>
        <w:t xml:space="preserve">, R. Brown, C. </w:t>
      </w:r>
      <w:proofErr w:type="spellStart"/>
      <w:r w:rsidR="0074481A" w:rsidRPr="0074481A">
        <w:rPr>
          <w:rFonts w:ascii="Arial" w:hAnsi="Arial" w:cs="Arial"/>
          <w:b/>
          <w:sz w:val="18"/>
          <w:szCs w:val="18"/>
        </w:rPr>
        <w:t>Derksen</w:t>
      </w:r>
      <w:proofErr w:type="spellEnd"/>
      <w:r w:rsidR="0074481A" w:rsidRPr="0074481A">
        <w:rPr>
          <w:rFonts w:ascii="Arial" w:hAnsi="Arial" w:cs="Arial"/>
          <w:b/>
          <w:sz w:val="18"/>
          <w:szCs w:val="18"/>
        </w:rPr>
        <w:t xml:space="preserve">, K. </w:t>
      </w:r>
      <w:proofErr w:type="spellStart"/>
      <w:r w:rsidR="0074481A" w:rsidRPr="0074481A">
        <w:rPr>
          <w:rFonts w:ascii="Arial" w:hAnsi="Arial" w:cs="Arial"/>
          <w:b/>
          <w:sz w:val="18"/>
          <w:szCs w:val="18"/>
        </w:rPr>
        <w:t>Luojus</w:t>
      </w:r>
      <w:proofErr w:type="spellEnd"/>
      <w:r w:rsidR="0074481A" w:rsidRPr="0074481A">
        <w:rPr>
          <w:rFonts w:ascii="Arial" w:hAnsi="Arial" w:cs="Arial"/>
          <w:b/>
          <w:sz w:val="18"/>
          <w:szCs w:val="18"/>
        </w:rPr>
        <w:t xml:space="preserve">, and S. </w:t>
      </w:r>
      <w:proofErr w:type="spellStart"/>
      <w:r w:rsidR="0074481A" w:rsidRPr="0074481A">
        <w:rPr>
          <w:rFonts w:ascii="Arial" w:hAnsi="Arial" w:cs="Arial"/>
          <w:b/>
          <w:sz w:val="18"/>
          <w:szCs w:val="18"/>
        </w:rPr>
        <w:t>Helfrich</w:t>
      </w:r>
      <w:proofErr w:type="spellEnd"/>
      <w:r w:rsidR="0074481A" w:rsidRPr="0074481A">
        <w:rPr>
          <w:rFonts w:ascii="Arial" w:hAnsi="Arial" w:cs="Arial"/>
          <w:b/>
          <w:sz w:val="18"/>
          <w:szCs w:val="18"/>
        </w:rPr>
        <w:t>].</w:t>
      </w:r>
      <w:proofErr w:type="gramEnd"/>
      <w:r w:rsidR="0074481A" w:rsidRPr="0074481A">
        <w:rPr>
          <w:rFonts w:ascii="Arial" w:hAnsi="Arial" w:cs="Arial"/>
          <w:b/>
          <w:sz w:val="18"/>
          <w:szCs w:val="18"/>
        </w:rPr>
        <w:t xml:space="preserve"> </w:t>
      </w:r>
    </w:p>
    <w:p w:rsidR="0074481A" w:rsidRPr="0074481A" w:rsidRDefault="0074481A">
      <w:pPr>
        <w:rPr>
          <w:rFonts w:ascii="Arial" w:hAnsi="Arial" w:cs="Arial"/>
        </w:rPr>
      </w:pPr>
    </w:p>
    <w:sectPr w:rsidR="0074481A" w:rsidRPr="007448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52745"/>
    <w:multiLevelType w:val="hybridMultilevel"/>
    <w:tmpl w:val="97D2C70C"/>
    <w:lvl w:ilvl="0" w:tplc="CC42A5BA">
      <w:start w:val="1"/>
      <w:numFmt w:val="bullet"/>
      <w:lvlText w:val=""/>
      <w:lvlJc w:val="left"/>
      <w:pPr>
        <w:tabs>
          <w:tab w:val="num" w:pos="720"/>
        </w:tabs>
        <w:ind w:left="720" w:hanging="360"/>
      </w:pPr>
      <w:rPr>
        <w:rFonts w:ascii="Wingdings" w:hAnsi="Wingdings" w:hint="default"/>
      </w:rPr>
    </w:lvl>
    <w:lvl w:ilvl="1" w:tplc="58EE03C8" w:tentative="1">
      <w:start w:val="1"/>
      <w:numFmt w:val="bullet"/>
      <w:lvlText w:val=""/>
      <w:lvlJc w:val="left"/>
      <w:pPr>
        <w:tabs>
          <w:tab w:val="num" w:pos="1440"/>
        </w:tabs>
        <w:ind w:left="1440" w:hanging="360"/>
      </w:pPr>
      <w:rPr>
        <w:rFonts w:ascii="Wingdings" w:hAnsi="Wingdings" w:hint="default"/>
      </w:rPr>
    </w:lvl>
    <w:lvl w:ilvl="2" w:tplc="59C66D3A" w:tentative="1">
      <w:start w:val="1"/>
      <w:numFmt w:val="bullet"/>
      <w:lvlText w:val=""/>
      <w:lvlJc w:val="left"/>
      <w:pPr>
        <w:tabs>
          <w:tab w:val="num" w:pos="2160"/>
        </w:tabs>
        <w:ind w:left="2160" w:hanging="360"/>
      </w:pPr>
      <w:rPr>
        <w:rFonts w:ascii="Wingdings" w:hAnsi="Wingdings" w:hint="default"/>
      </w:rPr>
    </w:lvl>
    <w:lvl w:ilvl="3" w:tplc="BB22BBC8" w:tentative="1">
      <w:start w:val="1"/>
      <w:numFmt w:val="bullet"/>
      <w:lvlText w:val=""/>
      <w:lvlJc w:val="left"/>
      <w:pPr>
        <w:tabs>
          <w:tab w:val="num" w:pos="2880"/>
        </w:tabs>
        <w:ind w:left="2880" w:hanging="360"/>
      </w:pPr>
      <w:rPr>
        <w:rFonts w:ascii="Wingdings" w:hAnsi="Wingdings" w:hint="default"/>
      </w:rPr>
    </w:lvl>
    <w:lvl w:ilvl="4" w:tplc="8BCA541C" w:tentative="1">
      <w:start w:val="1"/>
      <w:numFmt w:val="bullet"/>
      <w:lvlText w:val=""/>
      <w:lvlJc w:val="left"/>
      <w:pPr>
        <w:tabs>
          <w:tab w:val="num" w:pos="3600"/>
        </w:tabs>
        <w:ind w:left="3600" w:hanging="360"/>
      </w:pPr>
      <w:rPr>
        <w:rFonts w:ascii="Wingdings" w:hAnsi="Wingdings" w:hint="default"/>
      </w:rPr>
    </w:lvl>
    <w:lvl w:ilvl="5" w:tplc="46B05752" w:tentative="1">
      <w:start w:val="1"/>
      <w:numFmt w:val="bullet"/>
      <w:lvlText w:val=""/>
      <w:lvlJc w:val="left"/>
      <w:pPr>
        <w:tabs>
          <w:tab w:val="num" w:pos="4320"/>
        </w:tabs>
        <w:ind w:left="4320" w:hanging="360"/>
      </w:pPr>
      <w:rPr>
        <w:rFonts w:ascii="Wingdings" w:hAnsi="Wingdings" w:hint="default"/>
      </w:rPr>
    </w:lvl>
    <w:lvl w:ilvl="6" w:tplc="6B1A2688" w:tentative="1">
      <w:start w:val="1"/>
      <w:numFmt w:val="bullet"/>
      <w:lvlText w:val=""/>
      <w:lvlJc w:val="left"/>
      <w:pPr>
        <w:tabs>
          <w:tab w:val="num" w:pos="5040"/>
        </w:tabs>
        <w:ind w:left="5040" w:hanging="360"/>
      </w:pPr>
      <w:rPr>
        <w:rFonts w:ascii="Wingdings" w:hAnsi="Wingdings" w:hint="default"/>
      </w:rPr>
    </w:lvl>
    <w:lvl w:ilvl="7" w:tplc="A522AEE8" w:tentative="1">
      <w:start w:val="1"/>
      <w:numFmt w:val="bullet"/>
      <w:lvlText w:val=""/>
      <w:lvlJc w:val="left"/>
      <w:pPr>
        <w:tabs>
          <w:tab w:val="num" w:pos="5760"/>
        </w:tabs>
        <w:ind w:left="5760" w:hanging="360"/>
      </w:pPr>
      <w:rPr>
        <w:rFonts w:ascii="Wingdings" w:hAnsi="Wingdings" w:hint="default"/>
      </w:rPr>
    </w:lvl>
    <w:lvl w:ilvl="8" w:tplc="97EEEA4C" w:tentative="1">
      <w:start w:val="1"/>
      <w:numFmt w:val="bullet"/>
      <w:lvlText w:val=""/>
      <w:lvlJc w:val="left"/>
      <w:pPr>
        <w:tabs>
          <w:tab w:val="num" w:pos="6480"/>
        </w:tabs>
        <w:ind w:left="6480" w:hanging="360"/>
      </w:pPr>
      <w:rPr>
        <w:rFonts w:ascii="Wingdings" w:hAnsi="Wingdings" w:hint="default"/>
      </w:rPr>
    </w:lvl>
  </w:abstractNum>
  <w:abstractNum w:abstractNumId="1">
    <w:nsid w:val="22E612B0"/>
    <w:multiLevelType w:val="hybridMultilevel"/>
    <w:tmpl w:val="49244D54"/>
    <w:lvl w:ilvl="0" w:tplc="1FC2D328">
      <w:start w:val="1"/>
      <w:numFmt w:val="bullet"/>
      <w:lvlText w:val=""/>
      <w:lvlJc w:val="left"/>
      <w:pPr>
        <w:tabs>
          <w:tab w:val="num" w:pos="720"/>
        </w:tabs>
        <w:ind w:left="720" w:hanging="360"/>
      </w:pPr>
      <w:rPr>
        <w:rFonts w:ascii="Wingdings" w:hAnsi="Wingdings" w:hint="default"/>
      </w:rPr>
    </w:lvl>
    <w:lvl w:ilvl="1" w:tplc="4C4C8CBA" w:tentative="1">
      <w:start w:val="1"/>
      <w:numFmt w:val="bullet"/>
      <w:lvlText w:val=""/>
      <w:lvlJc w:val="left"/>
      <w:pPr>
        <w:tabs>
          <w:tab w:val="num" w:pos="1440"/>
        </w:tabs>
        <w:ind w:left="1440" w:hanging="360"/>
      </w:pPr>
      <w:rPr>
        <w:rFonts w:ascii="Wingdings" w:hAnsi="Wingdings" w:hint="default"/>
      </w:rPr>
    </w:lvl>
    <w:lvl w:ilvl="2" w:tplc="311C55DE" w:tentative="1">
      <w:start w:val="1"/>
      <w:numFmt w:val="bullet"/>
      <w:lvlText w:val=""/>
      <w:lvlJc w:val="left"/>
      <w:pPr>
        <w:tabs>
          <w:tab w:val="num" w:pos="2160"/>
        </w:tabs>
        <w:ind w:left="2160" w:hanging="360"/>
      </w:pPr>
      <w:rPr>
        <w:rFonts w:ascii="Wingdings" w:hAnsi="Wingdings" w:hint="default"/>
      </w:rPr>
    </w:lvl>
    <w:lvl w:ilvl="3" w:tplc="BF4A2E44" w:tentative="1">
      <w:start w:val="1"/>
      <w:numFmt w:val="bullet"/>
      <w:lvlText w:val=""/>
      <w:lvlJc w:val="left"/>
      <w:pPr>
        <w:tabs>
          <w:tab w:val="num" w:pos="2880"/>
        </w:tabs>
        <w:ind w:left="2880" w:hanging="360"/>
      </w:pPr>
      <w:rPr>
        <w:rFonts w:ascii="Wingdings" w:hAnsi="Wingdings" w:hint="default"/>
      </w:rPr>
    </w:lvl>
    <w:lvl w:ilvl="4" w:tplc="72661532" w:tentative="1">
      <w:start w:val="1"/>
      <w:numFmt w:val="bullet"/>
      <w:lvlText w:val=""/>
      <w:lvlJc w:val="left"/>
      <w:pPr>
        <w:tabs>
          <w:tab w:val="num" w:pos="3600"/>
        </w:tabs>
        <w:ind w:left="3600" w:hanging="360"/>
      </w:pPr>
      <w:rPr>
        <w:rFonts w:ascii="Wingdings" w:hAnsi="Wingdings" w:hint="default"/>
      </w:rPr>
    </w:lvl>
    <w:lvl w:ilvl="5" w:tplc="84A2A976" w:tentative="1">
      <w:start w:val="1"/>
      <w:numFmt w:val="bullet"/>
      <w:lvlText w:val=""/>
      <w:lvlJc w:val="left"/>
      <w:pPr>
        <w:tabs>
          <w:tab w:val="num" w:pos="4320"/>
        </w:tabs>
        <w:ind w:left="4320" w:hanging="360"/>
      </w:pPr>
      <w:rPr>
        <w:rFonts w:ascii="Wingdings" w:hAnsi="Wingdings" w:hint="default"/>
      </w:rPr>
    </w:lvl>
    <w:lvl w:ilvl="6" w:tplc="B3FC7218" w:tentative="1">
      <w:start w:val="1"/>
      <w:numFmt w:val="bullet"/>
      <w:lvlText w:val=""/>
      <w:lvlJc w:val="left"/>
      <w:pPr>
        <w:tabs>
          <w:tab w:val="num" w:pos="5040"/>
        </w:tabs>
        <w:ind w:left="5040" w:hanging="360"/>
      </w:pPr>
      <w:rPr>
        <w:rFonts w:ascii="Wingdings" w:hAnsi="Wingdings" w:hint="default"/>
      </w:rPr>
    </w:lvl>
    <w:lvl w:ilvl="7" w:tplc="768682AC" w:tentative="1">
      <w:start w:val="1"/>
      <w:numFmt w:val="bullet"/>
      <w:lvlText w:val=""/>
      <w:lvlJc w:val="left"/>
      <w:pPr>
        <w:tabs>
          <w:tab w:val="num" w:pos="5760"/>
        </w:tabs>
        <w:ind w:left="5760" w:hanging="360"/>
      </w:pPr>
      <w:rPr>
        <w:rFonts w:ascii="Wingdings" w:hAnsi="Wingdings" w:hint="default"/>
      </w:rPr>
    </w:lvl>
    <w:lvl w:ilvl="8" w:tplc="7DE88FFA" w:tentative="1">
      <w:start w:val="1"/>
      <w:numFmt w:val="bullet"/>
      <w:lvlText w:val=""/>
      <w:lvlJc w:val="left"/>
      <w:pPr>
        <w:tabs>
          <w:tab w:val="num" w:pos="6480"/>
        </w:tabs>
        <w:ind w:left="6480" w:hanging="360"/>
      </w:pPr>
      <w:rPr>
        <w:rFonts w:ascii="Wingdings" w:hAnsi="Wingdings" w:hint="default"/>
      </w:rPr>
    </w:lvl>
  </w:abstractNum>
  <w:abstractNum w:abstractNumId="2">
    <w:nsid w:val="74134F3A"/>
    <w:multiLevelType w:val="hybridMultilevel"/>
    <w:tmpl w:val="51C66DBE"/>
    <w:lvl w:ilvl="0" w:tplc="749E6F04">
      <w:start w:val="1"/>
      <w:numFmt w:val="bullet"/>
      <w:lvlText w:val=""/>
      <w:lvlJc w:val="left"/>
      <w:pPr>
        <w:tabs>
          <w:tab w:val="num" w:pos="720"/>
        </w:tabs>
        <w:ind w:left="720" w:hanging="360"/>
      </w:pPr>
      <w:rPr>
        <w:rFonts w:ascii="Wingdings" w:hAnsi="Wingdings" w:hint="default"/>
      </w:rPr>
    </w:lvl>
    <w:lvl w:ilvl="1" w:tplc="4836ABA0" w:tentative="1">
      <w:start w:val="1"/>
      <w:numFmt w:val="bullet"/>
      <w:lvlText w:val=""/>
      <w:lvlJc w:val="left"/>
      <w:pPr>
        <w:tabs>
          <w:tab w:val="num" w:pos="1440"/>
        </w:tabs>
        <w:ind w:left="1440" w:hanging="360"/>
      </w:pPr>
      <w:rPr>
        <w:rFonts w:ascii="Wingdings" w:hAnsi="Wingdings" w:hint="default"/>
      </w:rPr>
    </w:lvl>
    <w:lvl w:ilvl="2" w:tplc="CA2CAB2A" w:tentative="1">
      <w:start w:val="1"/>
      <w:numFmt w:val="bullet"/>
      <w:lvlText w:val=""/>
      <w:lvlJc w:val="left"/>
      <w:pPr>
        <w:tabs>
          <w:tab w:val="num" w:pos="2160"/>
        </w:tabs>
        <w:ind w:left="2160" w:hanging="360"/>
      </w:pPr>
      <w:rPr>
        <w:rFonts w:ascii="Wingdings" w:hAnsi="Wingdings" w:hint="default"/>
      </w:rPr>
    </w:lvl>
    <w:lvl w:ilvl="3" w:tplc="F530C860" w:tentative="1">
      <w:start w:val="1"/>
      <w:numFmt w:val="bullet"/>
      <w:lvlText w:val=""/>
      <w:lvlJc w:val="left"/>
      <w:pPr>
        <w:tabs>
          <w:tab w:val="num" w:pos="2880"/>
        </w:tabs>
        <w:ind w:left="2880" w:hanging="360"/>
      </w:pPr>
      <w:rPr>
        <w:rFonts w:ascii="Wingdings" w:hAnsi="Wingdings" w:hint="default"/>
      </w:rPr>
    </w:lvl>
    <w:lvl w:ilvl="4" w:tplc="BBB253A8" w:tentative="1">
      <w:start w:val="1"/>
      <w:numFmt w:val="bullet"/>
      <w:lvlText w:val=""/>
      <w:lvlJc w:val="left"/>
      <w:pPr>
        <w:tabs>
          <w:tab w:val="num" w:pos="3600"/>
        </w:tabs>
        <w:ind w:left="3600" w:hanging="360"/>
      </w:pPr>
      <w:rPr>
        <w:rFonts w:ascii="Wingdings" w:hAnsi="Wingdings" w:hint="default"/>
      </w:rPr>
    </w:lvl>
    <w:lvl w:ilvl="5" w:tplc="EA8459EC" w:tentative="1">
      <w:start w:val="1"/>
      <w:numFmt w:val="bullet"/>
      <w:lvlText w:val=""/>
      <w:lvlJc w:val="left"/>
      <w:pPr>
        <w:tabs>
          <w:tab w:val="num" w:pos="4320"/>
        </w:tabs>
        <w:ind w:left="4320" w:hanging="360"/>
      </w:pPr>
      <w:rPr>
        <w:rFonts w:ascii="Wingdings" w:hAnsi="Wingdings" w:hint="default"/>
      </w:rPr>
    </w:lvl>
    <w:lvl w:ilvl="6" w:tplc="47BA3EF6" w:tentative="1">
      <w:start w:val="1"/>
      <w:numFmt w:val="bullet"/>
      <w:lvlText w:val=""/>
      <w:lvlJc w:val="left"/>
      <w:pPr>
        <w:tabs>
          <w:tab w:val="num" w:pos="5040"/>
        </w:tabs>
        <w:ind w:left="5040" w:hanging="360"/>
      </w:pPr>
      <w:rPr>
        <w:rFonts w:ascii="Wingdings" w:hAnsi="Wingdings" w:hint="default"/>
      </w:rPr>
    </w:lvl>
    <w:lvl w:ilvl="7" w:tplc="C3DC64AA" w:tentative="1">
      <w:start w:val="1"/>
      <w:numFmt w:val="bullet"/>
      <w:lvlText w:val=""/>
      <w:lvlJc w:val="left"/>
      <w:pPr>
        <w:tabs>
          <w:tab w:val="num" w:pos="5760"/>
        </w:tabs>
        <w:ind w:left="5760" w:hanging="360"/>
      </w:pPr>
      <w:rPr>
        <w:rFonts w:ascii="Wingdings" w:hAnsi="Wingdings" w:hint="default"/>
      </w:rPr>
    </w:lvl>
    <w:lvl w:ilvl="8" w:tplc="4D90F8BC"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2DB"/>
    <w:rsid w:val="00100AD4"/>
    <w:rsid w:val="0023122D"/>
    <w:rsid w:val="00344301"/>
    <w:rsid w:val="0036787D"/>
    <w:rsid w:val="005E2B01"/>
    <w:rsid w:val="006B0B22"/>
    <w:rsid w:val="0074481A"/>
    <w:rsid w:val="00777B53"/>
    <w:rsid w:val="007C6DEE"/>
    <w:rsid w:val="00801A91"/>
    <w:rsid w:val="009D551C"/>
    <w:rsid w:val="00B02EFA"/>
    <w:rsid w:val="00B45FA5"/>
    <w:rsid w:val="00BA72DB"/>
    <w:rsid w:val="00BF49E0"/>
    <w:rsid w:val="00C46C5A"/>
    <w:rsid w:val="00CA0C49"/>
    <w:rsid w:val="00E336F8"/>
    <w:rsid w:val="00EC3681"/>
    <w:rsid w:val="00EE28DA"/>
    <w:rsid w:val="00F24BFD"/>
    <w:rsid w:val="00F35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B01"/>
    <w:pPr>
      <w:spacing w:after="0" w:line="240" w:lineRule="auto"/>
    </w:pPr>
    <w:rPr>
      <w:rFonts w:ascii="Times New Roman" w:hAnsi="Times New Roman" w:cs="Times New Roman"/>
      <w:color w:val="00000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36787D"/>
    <w:pPr>
      <w:spacing w:after="200"/>
    </w:pPr>
    <w:rPr>
      <w:rFonts w:ascii="Calibri" w:eastAsia="Calibri" w:hAnsi="Calibri"/>
      <w:b/>
      <w:bCs/>
      <w:color w:val="4F81BD"/>
      <w:sz w:val="18"/>
      <w:szCs w:val="18"/>
    </w:rPr>
  </w:style>
  <w:style w:type="paragraph" w:styleId="a4">
    <w:name w:val="Balloon Text"/>
    <w:basedOn w:val="a"/>
    <w:link w:val="a5"/>
    <w:uiPriority w:val="99"/>
    <w:semiHidden/>
    <w:unhideWhenUsed/>
    <w:rsid w:val="0036787D"/>
    <w:rPr>
      <w:rFonts w:ascii="Tahoma" w:eastAsia="Calibri" w:hAnsi="Tahoma" w:cs="Tahoma"/>
      <w:color w:val="auto"/>
      <w:sz w:val="16"/>
      <w:szCs w:val="16"/>
    </w:rPr>
  </w:style>
  <w:style w:type="character" w:customStyle="1" w:styleId="a5">
    <w:name w:val="Текст выноски Знак"/>
    <w:basedOn w:val="a0"/>
    <w:link w:val="a4"/>
    <w:uiPriority w:val="99"/>
    <w:semiHidden/>
    <w:rsid w:val="0036787D"/>
    <w:rPr>
      <w:rFonts w:ascii="Tahoma" w:eastAsia="Calibri" w:hAnsi="Tahoma" w:cs="Tahoma"/>
      <w:sz w:val="16"/>
      <w:szCs w:val="16"/>
    </w:rPr>
  </w:style>
  <w:style w:type="paragraph" w:styleId="a6">
    <w:name w:val="List Paragraph"/>
    <w:basedOn w:val="a"/>
    <w:uiPriority w:val="34"/>
    <w:qFormat/>
    <w:rsid w:val="00100AD4"/>
    <w:pPr>
      <w:ind w:left="720"/>
      <w:contextualSpacing/>
    </w:pPr>
    <w:rPr>
      <w:rFonts w:eastAsia="Times New Roman"/>
      <w:color w:val="auto"/>
    </w:rPr>
  </w:style>
  <w:style w:type="character" w:styleId="a7">
    <w:name w:val="annotation reference"/>
    <w:basedOn w:val="a0"/>
    <w:uiPriority w:val="99"/>
    <w:semiHidden/>
    <w:unhideWhenUsed/>
    <w:rsid w:val="00C46C5A"/>
    <w:rPr>
      <w:sz w:val="16"/>
      <w:szCs w:val="16"/>
    </w:rPr>
  </w:style>
  <w:style w:type="paragraph" w:styleId="a8">
    <w:name w:val="annotation text"/>
    <w:basedOn w:val="a"/>
    <w:link w:val="a9"/>
    <w:uiPriority w:val="99"/>
    <w:semiHidden/>
    <w:unhideWhenUsed/>
    <w:rsid w:val="00C46C5A"/>
    <w:rPr>
      <w:sz w:val="20"/>
      <w:szCs w:val="20"/>
    </w:rPr>
  </w:style>
  <w:style w:type="character" w:customStyle="1" w:styleId="a9">
    <w:name w:val="Текст примечания Знак"/>
    <w:basedOn w:val="a0"/>
    <w:link w:val="a8"/>
    <w:uiPriority w:val="99"/>
    <w:semiHidden/>
    <w:rsid w:val="00C46C5A"/>
    <w:rPr>
      <w:rFonts w:ascii="Times New Roman" w:hAnsi="Times New Roman" w:cs="Times New Roman"/>
      <w:color w:val="000000"/>
      <w:sz w:val="20"/>
      <w:szCs w:val="20"/>
    </w:rPr>
  </w:style>
  <w:style w:type="paragraph" w:styleId="aa">
    <w:name w:val="annotation subject"/>
    <w:basedOn w:val="a8"/>
    <w:next w:val="a8"/>
    <w:link w:val="ab"/>
    <w:uiPriority w:val="99"/>
    <w:semiHidden/>
    <w:unhideWhenUsed/>
    <w:rsid w:val="00C46C5A"/>
    <w:rPr>
      <w:b/>
      <w:bCs/>
    </w:rPr>
  </w:style>
  <w:style w:type="character" w:customStyle="1" w:styleId="ab">
    <w:name w:val="Тема примечания Знак"/>
    <w:basedOn w:val="a9"/>
    <w:link w:val="aa"/>
    <w:uiPriority w:val="99"/>
    <w:semiHidden/>
    <w:rsid w:val="00C46C5A"/>
    <w:rPr>
      <w:rFonts w:ascii="Times New Roman" w:hAnsi="Times New Roman" w:cs="Times New Roman"/>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B01"/>
    <w:pPr>
      <w:spacing w:after="0" w:line="240" w:lineRule="auto"/>
    </w:pPr>
    <w:rPr>
      <w:rFonts w:ascii="Times New Roman" w:hAnsi="Times New Roman" w:cs="Times New Roman"/>
      <w:color w:val="00000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36787D"/>
    <w:pPr>
      <w:spacing w:after="200"/>
    </w:pPr>
    <w:rPr>
      <w:rFonts w:ascii="Calibri" w:eastAsia="Calibri" w:hAnsi="Calibri"/>
      <w:b/>
      <w:bCs/>
      <w:color w:val="4F81BD"/>
      <w:sz w:val="18"/>
      <w:szCs w:val="18"/>
    </w:rPr>
  </w:style>
  <w:style w:type="paragraph" w:styleId="a4">
    <w:name w:val="Balloon Text"/>
    <w:basedOn w:val="a"/>
    <w:link w:val="a5"/>
    <w:uiPriority w:val="99"/>
    <w:semiHidden/>
    <w:unhideWhenUsed/>
    <w:rsid w:val="0036787D"/>
    <w:rPr>
      <w:rFonts w:ascii="Tahoma" w:eastAsia="Calibri" w:hAnsi="Tahoma" w:cs="Tahoma"/>
      <w:color w:val="auto"/>
      <w:sz w:val="16"/>
      <w:szCs w:val="16"/>
    </w:rPr>
  </w:style>
  <w:style w:type="character" w:customStyle="1" w:styleId="a5">
    <w:name w:val="Текст выноски Знак"/>
    <w:basedOn w:val="a0"/>
    <w:link w:val="a4"/>
    <w:uiPriority w:val="99"/>
    <w:semiHidden/>
    <w:rsid w:val="0036787D"/>
    <w:rPr>
      <w:rFonts w:ascii="Tahoma" w:eastAsia="Calibri" w:hAnsi="Tahoma" w:cs="Tahoma"/>
      <w:sz w:val="16"/>
      <w:szCs w:val="16"/>
    </w:rPr>
  </w:style>
  <w:style w:type="paragraph" w:styleId="a6">
    <w:name w:val="List Paragraph"/>
    <w:basedOn w:val="a"/>
    <w:uiPriority w:val="34"/>
    <w:qFormat/>
    <w:rsid w:val="00100AD4"/>
    <w:pPr>
      <w:ind w:left="720"/>
      <w:contextualSpacing/>
    </w:pPr>
    <w:rPr>
      <w:rFonts w:eastAsia="Times New Roman"/>
      <w:color w:val="auto"/>
    </w:rPr>
  </w:style>
  <w:style w:type="character" w:styleId="a7">
    <w:name w:val="annotation reference"/>
    <w:basedOn w:val="a0"/>
    <w:uiPriority w:val="99"/>
    <w:semiHidden/>
    <w:unhideWhenUsed/>
    <w:rsid w:val="00C46C5A"/>
    <w:rPr>
      <w:sz w:val="16"/>
      <w:szCs w:val="16"/>
    </w:rPr>
  </w:style>
  <w:style w:type="paragraph" w:styleId="a8">
    <w:name w:val="annotation text"/>
    <w:basedOn w:val="a"/>
    <w:link w:val="a9"/>
    <w:uiPriority w:val="99"/>
    <w:semiHidden/>
    <w:unhideWhenUsed/>
    <w:rsid w:val="00C46C5A"/>
    <w:rPr>
      <w:sz w:val="20"/>
      <w:szCs w:val="20"/>
    </w:rPr>
  </w:style>
  <w:style w:type="character" w:customStyle="1" w:styleId="a9">
    <w:name w:val="Текст примечания Знак"/>
    <w:basedOn w:val="a0"/>
    <w:link w:val="a8"/>
    <w:uiPriority w:val="99"/>
    <w:semiHidden/>
    <w:rsid w:val="00C46C5A"/>
    <w:rPr>
      <w:rFonts w:ascii="Times New Roman" w:hAnsi="Times New Roman" w:cs="Times New Roman"/>
      <w:color w:val="000000"/>
      <w:sz w:val="20"/>
      <w:szCs w:val="20"/>
    </w:rPr>
  </w:style>
  <w:style w:type="paragraph" w:styleId="aa">
    <w:name w:val="annotation subject"/>
    <w:basedOn w:val="a8"/>
    <w:next w:val="a8"/>
    <w:link w:val="ab"/>
    <w:uiPriority w:val="99"/>
    <w:semiHidden/>
    <w:unhideWhenUsed/>
    <w:rsid w:val="00C46C5A"/>
    <w:rPr>
      <w:b/>
      <w:bCs/>
    </w:rPr>
  </w:style>
  <w:style w:type="character" w:customStyle="1" w:styleId="ab">
    <w:name w:val="Тема примечания Знак"/>
    <w:basedOn w:val="a9"/>
    <w:link w:val="aa"/>
    <w:uiPriority w:val="99"/>
    <w:semiHidden/>
    <w:rsid w:val="00C46C5A"/>
    <w:rPr>
      <w:rFonts w:ascii="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011706">
      <w:bodyDiv w:val="1"/>
      <w:marLeft w:val="0"/>
      <w:marRight w:val="0"/>
      <w:marTop w:val="0"/>
      <w:marBottom w:val="0"/>
      <w:divBdr>
        <w:top w:val="none" w:sz="0" w:space="0" w:color="auto"/>
        <w:left w:val="none" w:sz="0" w:space="0" w:color="auto"/>
        <w:bottom w:val="none" w:sz="0" w:space="0" w:color="auto"/>
        <w:right w:val="none" w:sz="0" w:space="0" w:color="auto"/>
      </w:divBdr>
      <w:divsChild>
        <w:div w:id="1127048971">
          <w:marLeft w:val="835"/>
          <w:marRight w:val="0"/>
          <w:marTop w:val="58"/>
          <w:marBottom w:val="0"/>
          <w:divBdr>
            <w:top w:val="none" w:sz="0" w:space="0" w:color="auto"/>
            <w:left w:val="none" w:sz="0" w:space="0" w:color="auto"/>
            <w:bottom w:val="none" w:sz="0" w:space="0" w:color="auto"/>
            <w:right w:val="none" w:sz="0" w:space="0" w:color="auto"/>
          </w:divBdr>
        </w:div>
      </w:divsChild>
    </w:div>
    <w:div w:id="740760665">
      <w:bodyDiv w:val="1"/>
      <w:marLeft w:val="0"/>
      <w:marRight w:val="0"/>
      <w:marTop w:val="0"/>
      <w:marBottom w:val="0"/>
      <w:divBdr>
        <w:top w:val="none" w:sz="0" w:space="0" w:color="auto"/>
        <w:left w:val="none" w:sz="0" w:space="0" w:color="auto"/>
        <w:bottom w:val="none" w:sz="0" w:space="0" w:color="auto"/>
        <w:right w:val="none" w:sz="0" w:space="0" w:color="auto"/>
      </w:divBdr>
      <w:divsChild>
        <w:div w:id="714280532">
          <w:marLeft w:val="835"/>
          <w:marRight w:val="0"/>
          <w:marTop w:val="58"/>
          <w:marBottom w:val="0"/>
          <w:divBdr>
            <w:top w:val="none" w:sz="0" w:space="0" w:color="auto"/>
            <w:left w:val="none" w:sz="0" w:space="0" w:color="auto"/>
            <w:bottom w:val="none" w:sz="0" w:space="0" w:color="auto"/>
            <w:right w:val="none" w:sz="0" w:space="0" w:color="auto"/>
          </w:divBdr>
        </w:div>
      </w:divsChild>
    </w:div>
    <w:div w:id="888224852">
      <w:bodyDiv w:val="1"/>
      <w:marLeft w:val="0"/>
      <w:marRight w:val="0"/>
      <w:marTop w:val="0"/>
      <w:marBottom w:val="0"/>
      <w:divBdr>
        <w:top w:val="none" w:sz="0" w:space="0" w:color="auto"/>
        <w:left w:val="none" w:sz="0" w:space="0" w:color="auto"/>
        <w:bottom w:val="none" w:sz="0" w:space="0" w:color="auto"/>
        <w:right w:val="none" w:sz="0" w:space="0" w:color="auto"/>
      </w:divBdr>
    </w:div>
    <w:div w:id="923487481">
      <w:bodyDiv w:val="1"/>
      <w:marLeft w:val="0"/>
      <w:marRight w:val="0"/>
      <w:marTop w:val="0"/>
      <w:marBottom w:val="0"/>
      <w:divBdr>
        <w:top w:val="none" w:sz="0" w:space="0" w:color="auto"/>
        <w:left w:val="none" w:sz="0" w:space="0" w:color="auto"/>
        <w:bottom w:val="none" w:sz="0" w:space="0" w:color="auto"/>
        <w:right w:val="none" w:sz="0" w:space="0" w:color="auto"/>
      </w:divBdr>
      <w:divsChild>
        <w:div w:id="1044600852">
          <w:marLeft w:val="835"/>
          <w:marRight w:val="0"/>
          <w:marTop w:val="58"/>
          <w:marBottom w:val="0"/>
          <w:divBdr>
            <w:top w:val="none" w:sz="0" w:space="0" w:color="auto"/>
            <w:left w:val="none" w:sz="0" w:space="0" w:color="auto"/>
            <w:bottom w:val="none" w:sz="0" w:space="0" w:color="auto"/>
            <w:right w:val="none" w:sz="0" w:space="0" w:color="auto"/>
          </w:divBdr>
        </w:div>
        <w:div w:id="1041779901">
          <w:marLeft w:val="835"/>
          <w:marRight w:val="0"/>
          <w:marTop w:val="58"/>
          <w:marBottom w:val="0"/>
          <w:divBdr>
            <w:top w:val="none" w:sz="0" w:space="0" w:color="auto"/>
            <w:left w:val="none" w:sz="0" w:space="0" w:color="auto"/>
            <w:bottom w:val="none" w:sz="0" w:space="0" w:color="auto"/>
            <w:right w:val="none" w:sz="0" w:space="0" w:color="auto"/>
          </w:divBdr>
        </w:div>
        <w:div w:id="723329651">
          <w:marLeft w:val="835"/>
          <w:marRight w:val="0"/>
          <w:marTop w:val="58"/>
          <w:marBottom w:val="0"/>
          <w:divBdr>
            <w:top w:val="none" w:sz="0" w:space="0" w:color="auto"/>
            <w:left w:val="none" w:sz="0" w:space="0" w:color="auto"/>
            <w:bottom w:val="none" w:sz="0" w:space="0" w:color="auto"/>
            <w:right w:val="none" w:sz="0" w:space="0" w:color="auto"/>
          </w:divBdr>
        </w:div>
      </w:divsChild>
    </w:div>
    <w:div w:id="142864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788</Words>
  <Characters>4494</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Environment Canada</Company>
  <LinksUpToDate>false</LinksUpToDate>
  <CharactersWithSpaces>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Gascon,Gabrielle [Edm]</dc:creator>
  <cp:lastModifiedBy>VS</cp:lastModifiedBy>
  <cp:revision>3</cp:revision>
  <dcterms:created xsi:type="dcterms:W3CDTF">2018-10-30T04:51:00Z</dcterms:created>
  <dcterms:modified xsi:type="dcterms:W3CDTF">2018-10-30T06:30:00Z</dcterms:modified>
</cp:coreProperties>
</file>