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26E" w:rsidRDefault="0070626E" w:rsidP="0070626E">
      <w:pPr>
        <w:pStyle w:val="Heading1"/>
        <w:rPr>
          <w:lang w:val="en-US"/>
        </w:rPr>
      </w:pPr>
      <w:r>
        <w:rPr>
          <w:lang w:val="en-US"/>
        </w:rPr>
        <w:t xml:space="preserve">WWMWIS Committee revision of </w:t>
      </w:r>
      <w:r>
        <w:rPr>
          <w:lang w:val="en-US"/>
        </w:rPr>
        <w:t>tropical cyclone</w:t>
      </w:r>
      <w:r>
        <w:rPr>
          <w:lang w:val="en-US"/>
        </w:rPr>
        <w:t xml:space="preserve"> RSMC functions in GDPFS Manual (WMO No.485)</w:t>
      </w:r>
    </w:p>
    <w:p w:rsidR="0070626E" w:rsidRPr="00A4071B" w:rsidRDefault="0070626E" w:rsidP="0070626E">
      <w:pPr>
        <w:rPr>
          <w:lang w:val="en-US"/>
        </w:rPr>
      </w:pPr>
      <w:r>
        <w:rPr>
          <w:lang w:val="en-US"/>
        </w:rPr>
        <w:t>The following has been extracted from the Manual version Feb 2018.</w:t>
      </w:r>
    </w:p>
    <w:p w:rsidR="0090152C" w:rsidRDefault="0090152C" w:rsidP="00DE1CF9">
      <w:pPr>
        <w:rPr>
          <w:lang w:val="en-US"/>
        </w:rPr>
      </w:pPr>
    </w:p>
    <w:p w:rsidR="0090152C" w:rsidRPr="00A55B37" w:rsidRDefault="0090152C" w:rsidP="0090152C">
      <w:pPr>
        <w:pStyle w:val="Heading3"/>
      </w:pPr>
      <w:r w:rsidRPr="00A55B37">
        <w:t>2.2.2.6</w:t>
      </w:r>
      <w:r w:rsidRPr="00A55B37">
        <w:tab/>
        <w:t>Tropical cyclone forecasting, including marine-related hazards</w:t>
      </w:r>
      <w:bookmarkStart w:id="0" w:name="_p_CB7EBC027A9B2644ABFA3211C9C73CEF"/>
      <w:bookmarkEnd w:id="0"/>
    </w:p>
    <w:p w:rsidR="0090152C" w:rsidRPr="00A55B37" w:rsidRDefault="0090152C" w:rsidP="0090152C">
      <w:pPr>
        <w:pStyle w:val="Note"/>
      </w:pPr>
      <w:r w:rsidRPr="00A55B37">
        <w:t>Note:</w:t>
      </w:r>
      <w:r w:rsidRPr="00A55B37">
        <w:tab/>
        <w:t>This activity</w:t>
      </w:r>
      <w:r>
        <w:t xml:space="preserve"> is performed within the five </w:t>
      </w:r>
      <w:r w:rsidRPr="00A55B37">
        <w:t>Tropical Cyclone Programme regional bodies</w:t>
      </w:r>
      <w:r>
        <w:t>, each composed of an RSMC and a number of NMCs forming a network</w:t>
      </w:r>
      <w:r w:rsidRPr="00A55B37">
        <w:t>.</w:t>
      </w:r>
      <w:bookmarkStart w:id="1" w:name="_p_6326BEAE5122DC46A07C400CCEB1C441"/>
      <w:bookmarkEnd w:id="1"/>
    </w:p>
    <w:p w:rsidR="0090152C" w:rsidRPr="00A55B37" w:rsidRDefault="0090152C" w:rsidP="0090152C">
      <w:pPr>
        <w:pStyle w:val="Bodytextsemibold"/>
      </w:pPr>
      <w:r w:rsidRPr="00A55B37">
        <w:t>2.2.2.6.1</w:t>
      </w:r>
      <w:r w:rsidRPr="00A55B37">
        <w:tab/>
        <w:t>Regional Specialized Meteorological Centres conducting tropical cyclone forecasting shall:</w:t>
      </w:r>
      <w:bookmarkStart w:id="2" w:name="_p_8A7CA003F548C245946C9ABD597A646C"/>
      <w:bookmarkEnd w:id="2"/>
    </w:p>
    <w:p w:rsidR="0090152C" w:rsidRPr="00A55B37" w:rsidRDefault="0090152C" w:rsidP="0090152C">
      <w:pPr>
        <w:pStyle w:val="Indent1semibold"/>
      </w:pPr>
      <w:r w:rsidRPr="00A55B37">
        <w:t>(a)</w:t>
      </w:r>
      <w:r w:rsidRPr="00A55B37">
        <w:tab/>
        <w:t>Monitor continuously meteorological phenomena such as convective activities to predict or detect tropical cyclone formation;</w:t>
      </w:r>
      <w:bookmarkStart w:id="3" w:name="_p_A5B68721F242CD47A21158D07C40C2DA"/>
      <w:bookmarkEnd w:id="3"/>
    </w:p>
    <w:p w:rsidR="0090152C" w:rsidRPr="00A55B37" w:rsidRDefault="0090152C" w:rsidP="0090152C">
      <w:pPr>
        <w:pStyle w:val="Indent1semibold"/>
      </w:pPr>
      <w:r w:rsidRPr="00A55B37">
        <w:t>(b)</w:t>
      </w:r>
      <w:r w:rsidRPr="00A55B37">
        <w:tab/>
        <w:t>Analyse and forecast tropical cyclones based on all available observational data and forecasting guidance, including NWP, EPS and satellite-based products;</w:t>
      </w:r>
      <w:bookmarkStart w:id="4" w:name="_p_27F6F1DA524F8C449C09774279562AEC"/>
      <w:bookmarkEnd w:id="4"/>
    </w:p>
    <w:p w:rsidR="0090152C" w:rsidRPr="00A55B37" w:rsidRDefault="0090152C" w:rsidP="0090152C">
      <w:pPr>
        <w:pStyle w:val="Indent1semibold"/>
      </w:pPr>
      <w:r w:rsidRPr="00A55B37">
        <w:t>(c)</w:t>
      </w:r>
      <w:r w:rsidRPr="00A55B37">
        <w:tab/>
      </w:r>
      <w:commentRangeStart w:id="5"/>
      <w:r w:rsidRPr="00A55B37">
        <w:t>Issue tropical cyclone advisories to associated NMCs;</w:t>
      </w:r>
      <w:bookmarkStart w:id="6" w:name="_p_6557379FEE12E84E82E0F1662E2328BA"/>
      <w:bookmarkEnd w:id="6"/>
      <w:commentRangeEnd w:id="5"/>
      <w:r>
        <w:rPr>
          <w:rStyle w:val="CommentReference"/>
          <w:rFonts w:eastAsiaTheme="minorEastAsia" w:cstheme="minorBidi"/>
          <w:b w:val="0"/>
          <w:color w:val="auto"/>
          <w:lang w:eastAsia="zh-CN"/>
        </w:rPr>
        <w:commentReference w:id="5"/>
      </w:r>
    </w:p>
    <w:p w:rsidR="0090152C" w:rsidRPr="00A55B37" w:rsidRDefault="0090152C" w:rsidP="0090152C">
      <w:pPr>
        <w:pStyle w:val="Indent1semibold"/>
      </w:pPr>
      <w:r w:rsidRPr="00A55B37">
        <w:t>(d)</w:t>
      </w:r>
      <w:r w:rsidRPr="00A55B37">
        <w:tab/>
        <w:t>As appropriate, add information in tropical cyclone advisories on hazardous phenomena associated with tropical cyclones such as heavy rains, strong winds and storm surges;</w:t>
      </w:r>
      <w:bookmarkStart w:id="7" w:name="_p_B5F6B0DC27D70B468A6B5E6C810885CC"/>
      <w:bookmarkEnd w:id="7"/>
    </w:p>
    <w:p w:rsidR="0090152C" w:rsidRPr="00A55B37" w:rsidRDefault="0090152C" w:rsidP="0090152C">
      <w:pPr>
        <w:pStyle w:val="Indent1semibold"/>
      </w:pPr>
      <w:r w:rsidRPr="00A55B37">
        <w:t>(e)</w:t>
      </w:r>
      <w:r w:rsidRPr="00A55B37">
        <w:tab/>
        <w:t>Name tropical cyclones when they have been analysed with maximum wind speeds of 34 knots or more;</w:t>
      </w:r>
      <w:bookmarkStart w:id="8" w:name="_p_0903A419280B7C4282C38EEF26113F09"/>
      <w:bookmarkEnd w:id="8"/>
    </w:p>
    <w:p w:rsidR="0090152C" w:rsidRPr="00A55B37" w:rsidRDefault="0090152C" w:rsidP="0090152C">
      <w:pPr>
        <w:pStyle w:val="Indent1semibold"/>
      </w:pPr>
      <w:r w:rsidRPr="00A55B37">
        <w:t>(f)</w:t>
      </w:r>
      <w:r w:rsidRPr="00A55B37">
        <w:tab/>
        <w:t>Conduct post-event analysis of tropical cyclones based on quality-assured observational data and issue best-track data within an appropriate period of time (preferably on an annual basis); issue such data to the tropical cyclone community, including the International Best Track Archive for Climate Stewardship;</w:t>
      </w:r>
      <w:bookmarkStart w:id="9" w:name="_p_3AA201DBB4B8534482F7989BC79C80B5"/>
      <w:bookmarkEnd w:id="9"/>
    </w:p>
    <w:p w:rsidR="0090152C" w:rsidRPr="00A55B37" w:rsidRDefault="0090152C" w:rsidP="0090152C">
      <w:pPr>
        <w:pStyle w:val="Indent1semibold"/>
      </w:pPr>
      <w:r w:rsidRPr="00A55B37">
        <w:t>(g)</w:t>
      </w:r>
      <w:r w:rsidRPr="00A55B37">
        <w:tab/>
        <w:t>Promote research and development, and training in tropical cyclone analysis, forecasting and warning techniques.</w:t>
      </w:r>
      <w:bookmarkStart w:id="10" w:name="_p_7A7493FE29DEE74D878C0857D5B25FE1"/>
      <w:bookmarkEnd w:id="10"/>
    </w:p>
    <w:p w:rsidR="0090152C" w:rsidRPr="00A55B37" w:rsidRDefault="0090152C" w:rsidP="0090152C">
      <w:pPr>
        <w:pStyle w:val="Bodytextsemibold"/>
      </w:pPr>
      <w:r w:rsidRPr="00A55B37">
        <w:t>2.2.2.6.2</w:t>
      </w:r>
      <w:r w:rsidRPr="00A55B37">
        <w:tab/>
        <w:t>National Meteorological Centres associated with this activity shall:</w:t>
      </w:r>
      <w:bookmarkStart w:id="11" w:name="_p_F21B39D801BE964DB4D3D5781663955D"/>
      <w:bookmarkEnd w:id="11"/>
    </w:p>
    <w:p w:rsidR="0090152C" w:rsidRPr="00A55B37" w:rsidRDefault="0090152C" w:rsidP="0090152C">
      <w:pPr>
        <w:pStyle w:val="Indent1semibold"/>
      </w:pPr>
      <w:r w:rsidRPr="00A55B37">
        <w:t>(a)</w:t>
      </w:r>
      <w:r w:rsidRPr="00A55B37">
        <w:tab/>
        <w:t>Issue forecasts and warnings of tropical cyclones to threatened communities;</w:t>
      </w:r>
      <w:bookmarkStart w:id="12" w:name="_p_FE37B37B41EA6E44BBCE25862BE95F08"/>
      <w:bookmarkEnd w:id="12"/>
    </w:p>
    <w:p w:rsidR="0090152C" w:rsidRPr="00A55B37" w:rsidRDefault="0090152C" w:rsidP="0090152C">
      <w:pPr>
        <w:pStyle w:val="Indent1semibold"/>
      </w:pPr>
      <w:r w:rsidRPr="00A55B37">
        <w:t>(b)</w:t>
      </w:r>
      <w:r w:rsidRPr="00A55B37">
        <w:tab/>
        <w:t>Coordinate with national agencies responsible for disaster risk reduction;</w:t>
      </w:r>
      <w:bookmarkStart w:id="13" w:name="_p_A59F14C31269D047A2C39006FB717D42"/>
      <w:bookmarkEnd w:id="13"/>
    </w:p>
    <w:p w:rsidR="0090152C" w:rsidRPr="00A55B37" w:rsidRDefault="0090152C" w:rsidP="0090152C">
      <w:pPr>
        <w:pStyle w:val="Indent1semibold"/>
      </w:pPr>
      <w:r w:rsidRPr="00A55B37">
        <w:t>(c)</w:t>
      </w:r>
      <w:r w:rsidRPr="00A55B37">
        <w:tab/>
        <w:t>Provide relevant regional centres with observational data of tropical cyclones on a real-time basis.</w:t>
      </w:r>
      <w:bookmarkStart w:id="14" w:name="_p_B01C45E3BD979D46B61947C95026C0EE"/>
      <w:bookmarkEnd w:id="14"/>
    </w:p>
    <w:p w:rsidR="0090152C" w:rsidRPr="00A55B37" w:rsidRDefault="0090152C" w:rsidP="0090152C">
      <w:pPr>
        <w:pStyle w:val="Bodytextsemibold"/>
      </w:pPr>
      <w:r w:rsidRPr="00A55B37">
        <w:t>2.2.2.6.3</w:t>
      </w:r>
      <w:r w:rsidRPr="00A55B37">
        <w:tab/>
        <w:t xml:space="preserve">All six RSMCs for tropical cyclone forecasting together with Tropical Cyclone Warning Centre Darwin, which are designated as Tropical Cyclone Advisory Centres by regional air navigation agreement within the framework of the tropical cyclone watch of the International Civil Aviation Organization (ICAO), shall issue tropical cyclone advisories for aviation in accordance with </w:t>
      </w:r>
      <w:r w:rsidRPr="00A55B37">
        <w:lastRenderedPageBreak/>
        <w:t xml:space="preserve">the provisions made in </w:t>
      </w:r>
      <w:r w:rsidRPr="005E5272">
        <w:rPr>
          <w:rStyle w:val="Semibolditalic"/>
        </w:rPr>
        <w:t>Meteorological Service for International Air Navigation</w:t>
      </w:r>
      <w:r w:rsidRPr="00A55B37">
        <w:t xml:space="preserve">, Annex 3 to the Convention on International Civil Aviation, ICAO; and </w:t>
      </w:r>
      <w:r w:rsidRPr="005E5272">
        <w:rPr>
          <w:rStyle w:val="Semibolditalic"/>
        </w:rPr>
        <w:t>Technical Regulations</w:t>
      </w:r>
      <w:r w:rsidRPr="00A55B37">
        <w:t xml:space="preserve"> (WMO-No. 49), Volume II, Parts I and II. SIGMET information concerning tropical cyclones shall be issued by meteorological watch offices for the flight information region concerned and shall be based on the tropical cyclone advisory information issued by the Tropical Cyclone Advisory Centres.</w:t>
      </w:r>
      <w:bookmarkStart w:id="15" w:name="_p_1856177D781DE74C98E737F9C8E4D55B"/>
      <w:bookmarkEnd w:id="15"/>
    </w:p>
    <w:p w:rsidR="0090152C" w:rsidRPr="00A55B37" w:rsidRDefault="0090152C" w:rsidP="0090152C">
      <w:pPr>
        <w:pStyle w:val="Bodytextsemibold"/>
      </w:pPr>
      <w:commentRangeStart w:id="16"/>
      <w:r w:rsidRPr="00A55B37">
        <w:t>2.2.2.6.4</w:t>
      </w:r>
      <w:r w:rsidRPr="00A55B37">
        <w:tab/>
        <w:t xml:space="preserve">Members holding </w:t>
      </w:r>
      <w:proofErr w:type="spellStart"/>
      <w:r w:rsidRPr="00A55B37">
        <w:t>Metareas</w:t>
      </w:r>
      <w:proofErr w:type="spellEnd"/>
      <w:r w:rsidRPr="00A55B37">
        <w:t xml:space="preserve"> under their responsibility within the Global Maritime Distress and Safety System (GMDSS) protocols – established by the International Maritime Organization in Chapter IV of the International Convention of Safety Of Life At Sea – shall include information on tropical cyclones as needed in their GMDSS maritime weather information for shipping.</w:t>
      </w:r>
      <w:bookmarkStart w:id="17" w:name="_p_B871B1DABDC5E940982A1B570DFF3AFB"/>
      <w:bookmarkEnd w:id="17"/>
      <w:commentRangeEnd w:id="16"/>
      <w:r>
        <w:rPr>
          <w:rStyle w:val="CommentReference"/>
          <w:rFonts w:eastAsiaTheme="minorEastAsia" w:cstheme="minorBidi"/>
          <w:b w:val="0"/>
          <w:color w:val="auto"/>
          <w:lang w:eastAsia="zh-CN"/>
        </w:rPr>
        <w:commentReference w:id="16"/>
      </w:r>
    </w:p>
    <w:p w:rsidR="0090152C" w:rsidRPr="00A55B37" w:rsidRDefault="0090152C" w:rsidP="0090152C">
      <w:pPr>
        <w:pStyle w:val="Note"/>
      </w:pPr>
      <w:r w:rsidRPr="00A55B37">
        <w:t>Note:</w:t>
      </w:r>
      <w:r w:rsidRPr="00A55B37">
        <w:tab/>
        <w:t>The bodies in charge of managing the information contained in the present Manual related to tropical cyclone forecasting are specified in Table 15.</w:t>
      </w:r>
      <w:bookmarkStart w:id="18" w:name="_p_75627AB85CCD244D953BF16F881E4865"/>
      <w:bookmarkEnd w:id="18"/>
    </w:p>
    <w:p w:rsidR="0090152C" w:rsidRPr="00A55B37" w:rsidRDefault="0090152C" w:rsidP="0090152C">
      <w:pPr>
        <w:pStyle w:val="Tablecaption"/>
      </w:pPr>
      <w:r w:rsidRPr="00A55B37">
        <w:t>Table 15. WMO bodies responsible for managing information related to tropical cyclone forecasting</w:t>
      </w:r>
      <w:bookmarkStart w:id="19" w:name="_p_E9609AAB7D92874DB6F232F4FE8F63F7"/>
      <w:bookmarkEnd w:id="19"/>
    </w:p>
    <w:p w:rsidR="0090152C" w:rsidRDefault="0090152C" w:rsidP="0090152C">
      <w:pPr>
        <w:pStyle w:val="TPSTable"/>
      </w:pPr>
      <w:r w:rsidRPr="00D30156">
        <w:fldChar w:fldCharType="begin"/>
      </w:r>
      <w:r w:rsidRPr="00D30156">
        <w:instrText xml:space="preserve"> MACROBUTTON TPS_Table TABLE: Table with lines</w:instrText>
      </w:r>
      <w:r w:rsidRPr="00D30156">
        <w:rPr>
          <w:vanish/>
        </w:rPr>
        <w:fldChar w:fldCharType="begin"/>
      </w:r>
      <w:r w:rsidRPr="00D30156">
        <w:rPr>
          <w:vanish/>
        </w:rPr>
        <w:instrText>Name="Table with lines" Columns="4" HeaderRows="1" BodyRows="10" FooterRows="0" KeepTableWidth="True" KeepWidths="True" KeepHAlign="True" KeepVAlign="True"</w:instrText>
      </w:r>
      <w:r w:rsidRPr="00D30156">
        <w:rPr>
          <w:vanish/>
        </w:rPr>
        <w:fldChar w:fldCharType="end"/>
      </w:r>
      <w:r w:rsidRPr="00D30156">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580"/>
        <w:gridCol w:w="2216"/>
        <w:gridCol w:w="2031"/>
      </w:tblGrid>
      <w:tr w:rsidR="0090152C" w:rsidRPr="00A55B37" w:rsidTr="00375416">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rsidR="0090152C" w:rsidRPr="00A55B37" w:rsidRDefault="0090152C" w:rsidP="00375416">
            <w:pPr>
              <w:pStyle w:val="Tableheader"/>
            </w:pPr>
            <w:r w:rsidRPr="00A55B37">
              <w:t>Responsibility</w:t>
            </w:r>
            <w:bookmarkStart w:id="20" w:name="_p_085AC6B44E94484DBC9DB37E0ADC6B33"/>
            <w:bookmarkEnd w:id="20"/>
          </w:p>
        </w:tc>
      </w:tr>
      <w:tr w:rsidR="0090152C" w:rsidRPr="00A55B37" w:rsidTr="00375416">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rsidR="0090152C" w:rsidRPr="00A55B37" w:rsidRDefault="0090152C" w:rsidP="00375416">
            <w:pPr>
              <w:pStyle w:val="Tableheader"/>
            </w:pPr>
            <w:r w:rsidRPr="00A55B37">
              <w:t>Changes to activity specification</w:t>
            </w:r>
            <w:bookmarkStart w:id="21" w:name="_p_6AFCD9682082354FB49A8BF940345D88"/>
            <w:bookmarkEnd w:id="21"/>
          </w:p>
        </w:tc>
      </w:tr>
      <w:tr w:rsidR="0090152C" w:rsidRPr="00A55B37" w:rsidTr="00375416">
        <w:trPr>
          <w:jc w:val="center"/>
        </w:trPr>
        <w:tc>
          <w:tcPr>
            <w:tcW w:w="2415" w:type="dxa"/>
            <w:tcBorders>
              <w:top w:val="single" w:sz="4" w:space="0" w:color="auto"/>
              <w:left w:val="single" w:sz="4" w:space="0" w:color="auto"/>
              <w:bottom w:val="single" w:sz="4" w:space="0" w:color="auto"/>
              <w:right w:val="single" w:sz="4" w:space="0" w:color="auto"/>
            </w:tcBorders>
            <w:vAlign w:val="center"/>
          </w:tcPr>
          <w:p w:rsidR="0090152C" w:rsidRPr="00A55B37" w:rsidRDefault="0090152C" w:rsidP="00375416">
            <w:pPr>
              <w:pStyle w:val="Tablebody"/>
            </w:pPr>
            <w:r w:rsidRPr="00A55B37">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rsidR="0090152C" w:rsidRPr="00A55B37" w:rsidRDefault="0090152C" w:rsidP="00375416">
            <w:pPr>
              <w:pStyle w:val="Tablebody"/>
            </w:pPr>
            <w:r w:rsidRPr="00A55B37">
              <w:t>Technical coordination meeting</w:t>
            </w:r>
            <w:bookmarkStart w:id="22" w:name="_p_E0C879984E9862409FE28BEE2D167B64"/>
            <w:bookmarkEnd w:id="22"/>
          </w:p>
        </w:tc>
        <w:tc>
          <w:tcPr>
            <w:tcW w:w="2216" w:type="dxa"/>
            <w:tcBorders>
              <w:top w:val="single" w:sz="4" w:space="0" w:color="auto"/>
              <w:left w:val="single" w:sz="4" w:space="0" w:color="auto"/>
              <w:bottom w:val="single" w:sz="4" w:space="0" w:color="auto"/>
              <w:right w:val="single" w:sz="4" w:space="0" w:color="auto"/>
            </w:tcBorders>
            <w:vAlign w:val="center"/>
          </w:tcPr>
          <w:p w:rsidR="0090152C" w:rsidRPr="00A55B37" w:rsidRDefault="0090152C" w:rsidP="00375416">
            <w:pPr>
              <w:pStyle w:val="Tablebody"/>
            </w:pPr>
          </w:p>
        </w:tc>
        <w:tc>
          <w:tcPr>
            <w:tcW w:w="2031" w:type="dxa"/>
            <w:tcBorders>
              <w:top w:val="single" w:sz="4" w:space="0" w:color="auto"/>
              <w:left w:val="single" w:sz="4" w:space="0" w:color="auto"/>
              <w:bottom w:val="single" w:sz="4" w:space="0" w:color="auto"/>
              <w:right w:val="single" w:sz="4" w:space="0" w:color="auto"/>
            </w:tcBorders>
          </w:tcPr>
          <w:p w:rsidR="0090152C" w:rsidRPr="00A55B37" w:rsidRDefault="0090152C" w:rsidP="00375416">
            <w:pPr>
              <w:pStyle w:val="Tablebody"/>
            </w:pPr>
          </w:p>
        </w:tc>
      </w:tr>
      <w:tr w:rsidR="0090152C" w:rsidRPr="00A55B37" w:rsidTr="00375416">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rsidR="0090152C" w:rsidRPr="00A55B37" w:rsidRDefault="0090152C" w:rsidP="00375416">
            <w:pPr>
              <w:pStyle w:val="Tablebody"/>
            </w:pPr>
            <w:r w:rsidRPr="00A55B37">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rsidR="0090152C" w:rsidRPr="00A55B37" w:rsidRDefault="0090152C" w:rsidP="00375416">
            <w:pPr>
              <w:pStyle w:val="Tablebody"/>
            </w:pPr>
            <w:r w:rsidRPr="00A55B37">
              <w:t>CBS</w:t>
            </w:r>
          </w:p>
        </w:tc>
        <w:tc>
          <w:tcPr>
            <w:tcW w:w="2216" w:type="dxa"/>
            <w:tcBorders>
              <w:top w:val="single" w:sz="4" w:space="0" w:color="auto"/>
              <w:left w:val="single" w:sz="4" w:space="0" w:color="auto"/>
              <w:bottom w:val="single" w:sz="4" w:space="0" w:color="auto"/>
              <w:right w:val="single" w:sz="4" w:space="0" w:color="auto"/>
            </w:tcBorders>
            <w:vAlign w:val="center"/>
          </w:tcPr>
          <w:p w:rsidR="0090152C" w:rsidRPr="00A55B37" w:rsidRDefault="0090152C" w:rsidP="00375416">
            <w:pPr>
              <w:pStyle w:val="Tablebody"/>
            </w:pPr>
            <w:r w:rsidRPr="00A55B37">
              <w:t>Regional tropical cyclone committee</w:t>
            </w:r>
            <w:bookmarkStart w:id="23" w:name="_p_F4DCD0D3D63D234199B571A5E7A800A0"/>
            <w:bookmarkEnd w:id="23"/>
          </w:p>
        </w:tc>
        <w:tc>
          <w:tcPr>
            <w:tcW w:w="2031" w:type="dxa"/>
            <w:tcBorders>
              <w:top w:val="single" w:sz="4" w:space="0" w:color="auto"/>
              <w:left w:val="single" w:sz="4" w:space="0" w:color="auto"/>
              <w:bottom w:val="single" w:sz="4" w:space="0" w:color="auto"/>
              <w:right w:val="single" w:sz="4" w:space="0" w:color="auto"/>
            </w:tcBorders>
          </w:tcPr>
          <w:p w:rsidR="0090152C" w:rsidRPr="00A55B37" w:rsidRDefault="0090152C" w:rsidP="00375416">
            <w:pPr>
              <w:pStyle w:val="Tablebody"/>
            </w:pPr>
          </w:p>
        </w:tc>
      </w:tr>
      <w:tr w:rsidR="0090152C" w:rsidRPr="00A55B37" w:rsidTr="00375416">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rsidR="0090152C" w:rsidRPr="00A55B37" w:rsidRDefault="0090152C" w:rsidP="00375416">
            <w:pPr>
              <w:pStyle w:val="Tablebody"/>
            </w:pPr>
            <w:r w:rsidRPr="00A55B37">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rsidR="0090152C" w:rsidRPr="00A55B37" w:rsidRDefault="0090152C" w:rsidP="00375416">
            <w:pPr>
              <w:pStyle w:val="Tablebody"/>
            </w:pPr>
            <w:r w:rsidRPr="00A55B37">
              <w:t>EC/Congress</w:t>
            </w:r>
            <w:bookmarkStart w:id="24" w:name="_p_1C423EF291D89C4DA4BC3B6EDBF9644E"/>
            <w:bookmarkEnd w:id="24"/>
          </w:p>
        </w:tc>
        <w:tc>
          <w:tcPr>
            <w:tcW w:w="2216" w:type="dxa"/>
            <w:tcBorders>
              <w:top w:val="single" w:sz="4" w:space="0" w:color="auto"/>
              <w:left w:val="single" w:sz="4" w:space="0" w:color="auto"/>
              <w:bottom w:val="single" w:sz="4" w:space="0" w:color="auto"/>
              <w:right w:val="single" w:sz="4" w:space="0" w:color="auto"/>
            </w:tcBorders>
            <w:vAlign w:val="center"/>
          </w:tcPr>
          <w:p w:rsidR="0090152C" w:rsidRPr="00A55B37" w:rsidRDefault="0090152C" w:rsidP="00375416">
            <w:pPr>
              <w:pStyle w:val="Tablebody"/>
            </w:pPr>
          </w:p>
        </w:tc>
        <w:tc>
          <w:tcPr>
            <w:tcW w:w="2031" w:type="dxa"/>
            <w:tcBorders>
              <w:top w:val="single" w:sz="4" w:space="0" w:color="auto"/>
              <w:left w:val="single" w:sz="4" w:space="0" w:color="auto"/>
              <w:bottom w:val="single" w:sz="4" w:space="0" w:color="auto"/>
              <w:right w:val="single" w:sz="4" w:space="0" w:color="auto"/>
            </w:tcBorders>
          </w:tcPr>
          <w:p w:rsidR="0090152C" w:rsidRPr="00A55B37" w:rsidRDefault="0090152C" w:rsidP="00375416">
            <w:pPr>
              <w:pStyle w:val="Tablebody"/>
            </w:pPr>
          </w:p>
        </w:tc>
      </w:tr>
      <w:tr w:rsidR="0090152C" w:rsidRPr="00A55B37" w:rsidTr="00375416">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rsidR="0090152C" w:rsidRPr="00A55B37" w:rsidRDefault="0090152C" w:rsidP="00375416">
            <w:pPr>
              <w:pStyle w:val="Tableheader"/>
            </w:pPr>
            <w:r w:rsidRPr="00A55B37">
              <w:t>Centres designation</w:t>
            </w:r>
            <w:bookmarkStart w:id="25" w:name="_p_DC7BECB3881A474FBF3090751A3B17C1"/>
            <w:bookmarkEnd w:id="25"/>
          </w:p>
        </w:tc>
      </w:tr>
      <w:tr w:rsidR="0090152C" w:rsidRPr="00A55B37" w:rsidTr="00375416">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rsidR="0090152C" w:rsidRPr="00A55B37" w:rsidRDefault="0090152C" w:rsidP="00375416">
            <w:pPr>
              <w:pStyle w:val="Tablebody"/>
            </w:pPr>
            <w:r w:rsidRPr="00A55B37">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rsidR="0090152C" w:rsidRPr="00A55B37" w:rsidRDefault="0090152C" w:rsidP="00375416">
            <w:pPr>
              <w:pStyle w:val="Tablebody"/>
            </w:pPr>
            <w:r w:rsidRPr="00A55B37">
              <w:t>CBS</w:t>
            </w:r>
          </w:p>
        </w:tc>
        <w:tc>
          <w:tcPr>
            <w:tcW w:w="2216" w:type="dxa"/>
            <w:tcBorders>
              <w:top w:val="single" w:sz="4" w:space="0" w:color="auto"/>
              <w:left w:val="single" w:sz="4" w:space="0" w:color="auto"/>
              <w:bottom w:val="single" w:sz="4" w:space="0" w:color="auto"/>
              <w:right w:val="single" w:sz="4" w:space="0" w:color="auto"/>
            </w:tcBorders>
            <w:vAlign w:val="center"/>
          </w:tcPr>
          <w:p w:rsidR="0090152C" w:rsidRPr="00A55B37" w:rsidRDefault="0090152C" w:rsidP="00375416">
            <w:pPr>
              <w:pStyle w:val="Tablebody"/>
            </w:pPr>
            <w:r w:rsidRPr="00A55B37">
              <w:t>Regional tropical cyclone committee</w:t>
            </w:r>
            <w:bookmarkStart w:id="26" w:name="_p_446B619F88DD2C4A810DB0D903031CCB"/>
            <w:bookmarkEnd w:id="26"/>
          </w:p>
        </w:tc>
        <w:tc>
          <w:tcPr>
            <w:tcW w:w="2031" w:type="dxa"/>
            <w:tcBorders>
              <w:top w:val="single" w:sz="4" w:space="0" w:color="auto"/>
              <w:left w:val="single" w:sz="4" w:space="0" w:color="auto"/>
              <w:bottom w:val="single" w:sz="4" w:space="0" w:color="auto"/>
              <w:right w:val="single" w:sz="4" w:space="0" w:color="auto"/>
            </w:tcBorders>
            <w:vAlign w:val="center"/>
          </w:tcPr>
          <w:p w:rsidR="0090152C" w:rsidRPr="00A55B37" w:rsidRDefault="0090152C" w:rsidP="00375416">
            <w:pPr>
              <w:pStyle w:val="Tablebody"/>
            </w:pPr>
          </w:p>
        </w:tc>
      </w:tr>
      <w:tr w:rsidR="0090152C" w:rsidRPr="00A55B37" w:rsidTr="00375416">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rsidR="0090152C" w:rsidRPr="00A55B37" w:rsidRDefault="0090152C" w:rsidP="00375416">
            <w:pPr>
              <w:pStyle w:val="Tablebody"/>
            </w:pPr>
            <w:r w:rsidRPr="00A55B37">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rsidR="0090152C" w:rsidRPr="00A55B37" w:rsidRDefault="0090152C" w:rsidP="00375416">
            <w:pPr>
              <w:pStyle w:val="Tablebody"/>
            </w:pPr>
            <w:r w:rsidRPr="00A55B37">
              <w:t>EC/Congress</w:t>
            </w:r>
            <w:bookmarkStart w:id="27" w:name="_p_21796B599D8A7942ADC9A746E5D3E99C"/>
            <w:bookmarkEnd w:id="27"/>
          </w:p>
        </w:tc>
        <w:tc>
          <w:tcPr>
            <w:tcW w:w="2216" w:type="dxa"/>
            <w:tcBorders>
              <w:top w:val="single" w:sz="4" w:space="0" w:color="auto"/>
              <w:left w:val="single" w:sz="4" w:space="0" w:color="auto"/>
              <w:bottom w:val="single" w:sz="4" w:space="0" w:color="auto"/>
              <w:right w:val="single" w:sz="4" w:space="0" w:color="auto"/>
            </w:tcBorders>
            <w:vAlign w:val="center"/>
          </w:tcPr>
          <w:p w:rsidR="0090152C" w:rsidRPr="00A55B37" w:rsidRDefault="0090152C" w:rsidP="00375416">
            <w:pPr>
              <w:pStyle w:val="Tablebody"/>
            </w:pPr>
          </w:p>
        </w:tc>
        <w:tc>
          <w:tcPr>
            <w:tcW w:w="2031" w:type="dxa"/>
            <w:tcBorders>
              <w:top w:val="single" w:sz="4" w:space="0" w:color="auto"/>
              <w:left w:val="single" w:sz="4" w:space="0" w:color="auto"/>
              <w:bottom w:val="single" w:sz="4" w:space="0" w:color="auto"/>
              <w:right w:val="single" w:sz="4" w:space="0" w:color="auto"/>
            </w:tcBorders>
            <w:vAlign w:val="center"/>
          </w:tcPr>
          <w:p w:rsidR="0090152C" w:rsidRPr="00A55B37" w:rsidRDefault="0090152C" w:rsidP="00375416">
            <w:pPr>
              <w:pStyle w:val="Tablebody"/>
            </w:pPr>
          </w:p>
        </w:tc>
      </w:tr>
      <w:tr w:rsidR="0090152C" w:rsidRPr="00A55B37" w:rsidTr="00375416">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rsidR="0090152C" w:rsidRPr="00A55B37" w:rsidRDefault="0090152C" w:rsidP="00375416">
            <w:pPr>
              <w:pStyle w:val="Tableheader"/>
            </w:pPr>
            <w:r w:rsidRPr="00A55B37">
              <w:t>Compliance</w:t>
            </w:r>
            <w:bookmarkStart w:id="28" w:name="_p_B28C7349B46B2D4E9122F5D193074466"/>
            <w:bookmarkEnd w:id="28"/>
          </w:p>
        </w:tc>
      </w:tr>
      <w:tr w:rsidR="0090152C" w:rsidRPr="00A55B37" w:rsidTr="00375416">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rsidR="0090152C" w:rsidRPr="00A55B37" w:rsidRDefault="0090152C" w:rsidP="00375416">
            <w:pPr>
              <w:pStyle w:val="Tablebody"/>
            </w:pPr>
            <w:r w:rsidRPr="00A55B37">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rsidR="0090152C" w:rsidRPr="00A55B37" w:rsidRDefault="0090152C" w:rsidP="00375416">
            <w:pPr>
              <w:pStyle w:val="Tablebody"/>
            </w:pPr>
            <w:r w:rsidRPr="00A55B37">
              <w:t>Technical coordination meeting</w:t>
            </w:r>
            <w:bookmarkStart w:id="29" w:name="_p_87B6774AE492A74D95FFF3E0A996CB3C"/>
            <w:bookmarkEnd w:id="29"/>
          </w:p>
        </w:tc>
        <w:tc>
          <w:tcPr>
            <w:tcW w:w="2216" w:type="dxa"/>
            <w:tcBorders>
              <w:top w:val="single" w:sz="4" w:space="0" w:color="auto"/>
              <w:left w:val="single" w:sz="4" w:space="0" w:color="auto"/>
              <w:bottom w:val="single" w:sz="4" w:space="0" w:color="auto"/>
              <w:right w:val="single" w:sz="4" w:space="0" w:color="auto"/>
            </w:tcBorders>
            <w:vAlign w:val="center"/>
          </w:tcPr>
          <w:p w:rsidR="0090152C" w:rsidRPr="00A55B37" w:rsidRDefault="0090152C" w:rsidP="00375416">
            <w:pPr>
              <w:pStyle w:val="Tablebody"/>
            </w:pPr>
          </w:p>
        </w:tc>
        <w:tc>
          <w:tcPr>
            <w:tcW w:w="2031" w:type="dxa"/>
            <w:tcBorders>
              <w:top w:val="single" w:sz="4" w:space="0" w:color="auto"/>
              <w:left w:val="single" w:sz="4" w:space="0" w:color="auto"/>
              <w:bottom w:val="single" w:sz="4" w:space="0" w:color="auto"/>
              <w:right w:val="single" w:sz="4" w:space="0" w:color="auto"/>
            </w:tcBorders>
            <w:vAlign w:val="center"/>
          </w:tcPr>
          <w:p w:rsidR="0090152C" w:rsidRPr="00A55B37" w:rsidRDefault="0090152C" w:rsidP="00375416">
            <w:pPr>
              <w:pStyle w:val="Tablebody"/>
            </w:pPr>
          </w:p>
        </w:tc>
      </w:tr>
      <w:tr w:rsidR="0090152C" w:rsidRPr="00A55B37" w:rsidTr="00375416">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rsidR="0090152C" w:rsidRPr="00A55B37" w:rsidRDefault="0090152C" w:rsidP="00375416">
            <w:pPr>
              <w:pStyle w:val="Tablebody"/>
            </w:pPr>
            <w:r w:rsidRPr="00A55B37">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rsidR="0090152C" w:rsidRPr="00A55B37" w:rsidRDefault="0090152C" w:rsidP="00375416">
            <w:pPr>
              <w:pStyle w:val="Tablebody"/>
            </w:pPr>
            <w:r w:rsidRPr="00A55B37">
              <w:t>CBS</w:t>
            </w:r>
            <w:bookmarkStart w:id="30" w:name="_p_A41CA5FA5AFF8A458FAAA31FB5BD7E11"/>
            <w:bookmarkEnd w:id="30"/>
          </w:p>
        </w:tc>
        <w:tc>
          <w:tcPr>
            <w:tcW w:w="2216" w:type="dxa"/>
            <w:tcBorders>
              <w:top w:val="single" w:sz="4" w:space="0" w:color="auto"/>
              <w:left w:val="single" w:sz="4" w:space="0" w:color="auto"/>
              <w:bottom w:val="single" w:sz="4" w:space="0" w:color="auto"/>
              <w:right w:val="single" w:sz="4" w:space="0" w:color="auto"/>
            </w:tcBorders>
            <w:vAlign w:val="center"/>
            <w:hideMark/>
          </w:tcPr>
          <w:p w:rsidR="0090152C" w:rsidRPr="00A55B37" w:rsidRDefault="0090152C" w:rsidP="00375416">
            <w:pPr>
              <w:pStyle w:val="Tablebody"/>
            </w:pPr>
          </w:p>
        </w:tc>
        <w:tc>
          <w:tcPr>
            <w:tcW w:w="2031" w:type="dxa"/>
            <w:tcBorders>
              <w:top w:val="single" w:sz="4" w:space="0" w:color="auto"/>
              <w:left w:val="single" w:sz="4" w:space="0" w:color="auto"/>
              <w:bottom w:val="single" w:sz="4" w:space="0" w:color="auto"/>
              <w:right w:val="single" w:sz="4" w:space="0" w:color="auto"/>
            </w:tcBorders>
            <w:vAlign w:val="center"/>
          </w:tcPr>
          <w:p w:rsidR="0090152C" w:rsidRPr="00A55B37" w:rsidRDefault="0090152C" w:rsidP="00375416">
            <w:pPr>
              <w:pStyle w:val="Tablebody"/>
            </w:pPr>
          </w:p>
        </w:tc>
      </w:tr>
    </w:tbl>
    <w:p w:rsidR="0090152C" w:rsidRDefault="0090152C" w:rsidP="00DE1CF9">
      <w:pPr>
        <w:rPr>
          <w:lang w:val="en-US"/>
        </w:rPr>
      </w:pPr>
    </w:p>
    <w:p w:rsidR="0090152C" w:rsidRDefault="0090152C" w:rsidP="00DE1CF9">
      <w:pPr>
        <w:rPr>
          <w:lang w:val="en-US"/>
        </w:rPr>
      </w:pPr>
    </w:p>
    <w:p w:rsidR="0070626E" w:rsidRPr="00A55B37" w:rsidRDefault="0070626E" w:rsidP="0070626E">
      <w:pPr>
        <w:pStyle w:val="Chapterhead"/>
      </w:pPr>
      <w:r w:rsidRPr="00A55B37">
        <w:t>APPENDIX 2.2.38. STANDARDIZED VERIFICATION OF TROPICAL CYCLONE FORECAST PRODUCTS</w:t>
      </w:r>
      <w:bookmarkStart w:id="31" w:name="_p_42FA50076E68E6489A480BEF8CDF6A30"/>
      <w:bookmarkEnd w:id="31"/>
    </w:p>
    <w:p w:rsidR="0070626E" w:rsidRPr="00A55B37" w:rsidRDefault="0070626E" w:rsidP="0070626E">
      <w:pPr>
        <w:pStyle w:val="Heading1NOToC"/>
      </w:pPr>
      <w:r w:rsidRPr="00A55B37">
        <w:t>1.</w:t>
      </w:r>
      <w:r w:rsidRPr="00A55B37">
        <w:tab/>
        <w:t>Introduction</w:t>
      </w:r>
      <w:bookmarkStart w:id="32" w:name="_p_0715F86923B8084E8776205F526CAB90"/>
      <w:bookmarkEnd w:id="32"/>
    </w:p>
    <w:p w:rsidR="0070626E" w:rsidRPr="00A55B37" w:rsidRDefault="0070626E" w:rsidP="0070626E">
      <w:pPr>
        <w:pStyle w:val="Bodytext"/>
      </w:pPr>
      <w:r w:rsidRPr="00A55B37">
        <w:t>This appendix presents detailed procedures for the production and exchange of a standard set of verification scores for tropical cyclone forecasts produced by the Lead Centre</w:t>
      </w:r>
      <w:r>
        <w:t>(s)</w:t>
      </w:r>
      <w:r w:rsidRPr="00A55B37">
        <w:t xml:space="preserve"> for TCFV based on gridded forecast fields provided by GDPFS-participating centres. The goal is to provide consistent verification information on the tropical cyclone forecast products of GDPFS-participating centres for forecasters in NMHSs, and to help the GDPFS-participating centres compare and improve their forecasts. The Lead Centre functions, as described in 2.2.3.5, include creating and maintaining a website for TCFV </w:t>
      </w:r>
      <w:r w:rsidRPr="00A55B37">
        <w:lastRenderedPageBreak/>
        <w:t xml:space="preserve">information, so that potential users can benefit from a consistent presentation of the results. </w:t>
      </w:r>
      <w:bookmarkStart w:id="33" w:name="_p_A8752DB488A24F4B9878FD10506033D3"/>
      <w:bookmarkEnd w:id="33"/>
    </w:p>
    <w:p w:rsidR="0070626E" w:rsidRPr="00A55B37" w:rsidRDefault="0070626E" w:rsidP="0070626E">
      <w:pPr>
        <w:pStyle w:val="Bodytext"/>
      </w:pPr>
      <w:r w:rsidRPr="00A55B37">
        <w:t>The standardized verification should provide key relevant information appropriate to the state of the art in tropical cyclone forecasting, while being as simple and as easy to implement as possible, and ensuring a consistent implementation across GDPFS-participating centres.</w:t>
      </w:r>
      <w:bookmarkStart w:id="34" w:name="_p_3B3E5061AFED7D4AB03EB4CBE4E09BA1"/>
      <w:bookmarkEnd w:id="34"/>
    </w:p>
    <w:p w:rsidR="0070626E" w:rsidRPr="00A55B37" w:rsidRDefault="0070626E" w:rsidP="0070626E">
      <w:pPr>
        <w:pStyle w:val="Heading1NOToC"/>
      </w:pPr>
      <w:r w:rsidRPr="00A55B37">
        <w:t>2.</w:t>
      </w:r>
      <w:r w:rsidRPr="00A55B37">
        <w:tab/>
        <w:t>Tropical cyclones to be verified</w:t>
      </w:r>
      <w:bookmarkStart w:id="35" w:name="_p_E902E7D066FD4241BBF21E2FDD77B9D6"/>
      <w:bookmarkEnd w:id="35"/>
    </w:p>
    <w:p w:rsidR="0070626E" w:rsidRPr="00A55B37" w:rsidRDefault="0070626E" w:rsidP="0070626E">
      <w:pPr>
        <w:pStyle w:val="Bodytext"/>
      </w:pPr>
      <w:r w:rsidRPr="00A55B37">
        <w:t>Tropical cyclones whose intensity has reached the category of tropical storm with a sustained wind of 34 knots or stronger are set as targets for this verification. The tropical depression stage of the targeted tropical cyclones is also included in this verification. However, the tropical cyclones that never evolve from the tropical depression to tropical storm stage during their life time are excluded.</w:t>
      </w:r>
      <w:bookmarkStart w:id="36" w:name="_p_B7F819576D6F634390B8A0AD5E5F6F10"/>
      <w:bookmarkEnd w:id="36"/>
    </w:p>
    <w:p w:rsidR="0070626E" w:rsidRPr="00A55B37" w:rsidRDefault="0070626E" w:rsidP="0070626E">
      <w:pPr>
        <w:pStyle w:val="Bodytext"/>
      </w:pPr>
      <w:r w:rsidRPr="00A55B37">
        <w:t>Tropical cyclones that are not recorded in the best track dataset (see section 7) are also excluded.</w:t>
      </w:r>
      <w:bookmarkStart w:id="37" w:name="_p_0B4DCD95FDDA8B4CAE09C95C5C356F5D"/>
      <w:bookmarkEnd w:id="37"/>
    </w:p>
    <w:p w:rsidR="0070626E" w:rsidRPr="00A55B37" w:rsidRDefault="0070626E" w:rsidP="0070626E">
      <w:pPr>
        <w:pStyle w:val="Heading1NOToC"/>
      </w:pPr>
      <w:r w:rsidRPr="00A55B37">
        <w:t>3.</w:t>
      </w:r>
      <w:r w:rsidRPr="00A55B37">
        <w:tab/>
        <w:t>Parameters</w:t>
      </w:r>
      <w:bookmarkStart w:id="38" w:name="_p_7E8641FFA2034548B87E1F901736E388"/>
      <w:bookmarkEnd w:id="38"/>
    </w:p>
    <w:p w:rsidR="0070626E" w:rsidRPr="00A55B37" w:rsidRDefault="0070626E" w:rsidP="0070626E">
      <w:pPr>
        <w:pStyle w:val="Bodytext"/>
      </w:pPr>
      <w:r w:rsidRPr="00A55B37">
        <w:t>Mandatory:</w:t>
      </w:r>
      <w:bookmarkStart w:id="39" w:name="_p_AE2E172D80E468418EEA029B985A5B9D"/>
      <w:bookmarkEnd w:id="39"/>
    </w:p>
    <w:p w:rsidR="0070626E" w:rsidRPr="00A55B37" w:rsidRDefault="0070626E" w:rsidP="0070626E">
      <w:pPr>
        <w:pStyle w:val="Indent1"/>
      </w:pPr>
      <w:r w:rsidRPr="00A55B37">
        <w:t>–</w:t>
      </w:r>
      <w:r w:rsidRPr="00A55B37">
        <w:tab/>
        <w:t>MSLP.</w:t>
      </w:r>
      <w:bookmarkStart w:id="40" w:name="_p_ABEDCCD47963C54285F818877B314814"/>
      <w:bookmarkEnd w:id="40"/>
    </w:p>
    <w:p w:rsidR="0070626E" w:rsidRPr="00A55B37" w:rsidRDefault="0070626E" w:rsidP="0070626E">
      <w:pPr>
        <w:pStyle w:val="Bodytext"/>
      </w:pPr>
      <w:r w:rsidRPr="00A55B37">
        <w:t>Recommended:</w:t>
      </w:r>
      <w:bookmarkStart w:id="41" w:name="_p_B7248AF1787B5E43AFED95717A9D3816"/>
      <w:bookmarkEnd w:id="41"/>
    </w:p>
    <w:p w:rsidR="0070626E" w:rsidRPr="00A55B37" w:rsidRDefault="0070626E" w:rsidP="0070626E">
      <w:pPr>
        <w:pStyle w:val="Indent1"/>
      </w:pPr>
      <w:r w:rsidRPr="00A55B37">
        <w:t>–</w:t>
      </w:r>
      <w:r w:rsidRPr="00A55B37">
        <w:tab/>
        <w:t xml:space="preserve">u and v wind components at 850 </w:t>
      </w:r>
      <w:proofErr w:type="spellStart"/>
      <w:r w:rsidRPr="00A55B37">
        <w:t>hPa</w:t>
      </w:r>
      <w:proofErr w:type="spellEnd"/>
      <w:r w:rsidRPr="00A55B37">
        <w:t>.</w:t>
      </w:r>
      <w:bookmarkStart w:id="42" w:name="_p_108974B2CBA64849889BC33260717113"/>
      <w:bookmarkEnd w:id="42"/>
    </w:p>
    <w:p w:rsidR="0070626E" w:rsidRPr="00A55B37" w:rsidRDefault="0070626E" w:rsidP="0070626E">
      <w:pPr>
        <w:pStyle w:val="Heading1NOToC"/>
      </w:pPr>
      <w:r w:rsidRPr="00A55B37">
        <w:t>4.</w:t>
      </w:r>
      <w:r w:rsidRPr="00A55B37">
        <w:tab/>
        <w:t>Forecast times</w:t>
      </w:r>
      <w:bookmarkStart w:id="43" w:name="_p_56760211909E604A940C02C4D6B21478"/>
      <w:bookmarkEnd w:id="43"/>
    </w:p>
    <w:p w:rsidR="0070626E" w:rsidRPr="00A55B37" w:rsidRDefault="0070626E" w:rsidP="0070626E">
      <w:pPr>
        <w:pStyle w:val="Bodytextsemibold"/>
      </w:pPr>
      <w:r w:rsidRPr="00A55B37">
        <w:t>Scores shall be computed for forecasts initialized at 1200 UTC. Annual scores shall be computed for a year from 1 January to 31 December in the northern hemisphere and for a year from 1 September to 31 August in the southern hemisphere.</w:t>
      </w:r>
      <w:bookmarkStart w:id="44" w:name="_p_5B04A605DB769E4CB22A6E9478AC3398"/>
      <w:bookmarkEnd w:id="44"/>
    </w:p>
    <w:p w:rsidR="0070626E" w:rsidRPr="00A55B37" w:rsidRDefault="0070626E" w:rsidP="0070626E">
      <w:pPr>
        <w:pStyle w:val="Heading1NOToC"/>
      </w:pPr>
      <w:r w:rsidRPr="00A55B37">
        <w:t>5.</w:t>
      </w:r>
      <w:r w:rsidRPr="00A55B37">
        <w:tab/>
        <w:t>Forecast steps</w:t>
      </w:r>
      <w:bookmarkStart w:id="45" w:name="_p_9A21A26FE855CF43A70034175D41667F"/>
      <w:bookmarkEnd w:id="45"/>
    </w:p>
    <w:p w:rsidR="0070626E" w:rsidRPr="00A55B37" w:rsidRDefault="0070626E" w:rsidP="0070626E">
      <w:pPr>
        <w:pStyle w:val="Bodytextsemibold"/>
      </w:pPr>
      <w:r w:rsidRPr="00A55B37">
        <w:t>Forecast steps shall be every 6 hours to 192 hours of the forecast range.</w:t>
      </w:r>
      <w:bookmarkStart w:id="46" w:name="_p_96189A4DB9B9164F814C62A9B56CCEA6"/>
      <w:bookmarkEnd w:id="46"/>
    </w:p>
    <w:p w:rsidR="0070626E" w:rsidRPr="00A55B37" w:rsidRDefault="0070626E" w:rsidP="0070626E">
      <w:pPr>
        <w:pStyle w:val="Heading1NOToC"/>
      </w:pPr>
      <w:r w:rsidRPr="00A55B37">
        <w:t>6.</w:t>
      </w:r>
      <w:r w:rsidRPr="00A55B37">
        <w:tab/>
        <w:t>Verification areas</w:t>
      </w:r>
      <w:bookmarkStart w:id="47" w:name="_p_520F7CBB9E131E4CB44B054CE3ADDBA6"/>
      <w:bookmarkEnd w:id="47"/>
    </w:p>
    <w:p w:rsidR="0070626E" w:rsidRPr="00A55B37" w:rsidRDefault="0070626E" w:rsidP="0070626E">
      <w:pPr>
        <w:pStyle w:val="Bodytext"/>
      </w:pPr>
      <w:r w:rsidRPr="00A55B37">
        <w:t>Scores are to be calculated separately for each verification area shown in the table below:</w:t>
      </w:r>
      <w:bookmarkStart w:id="48" w:name="_p_B84CBEDF9344A84B977AAA2671BAA41F"/>
      <w:bookmarkEnd w:id="48"/>
    </w:p>
    <w:p w:rsidR="0070626E" w:rsidRDefault="0070626E" w:rsidP="0070626E">
      <w:pPr>
        <w:pStyle w:val="TPSTable"/>
      </w:pPr>
      <w:r w:rsidRPr="00D37BC3">
        <w:fldChar w:fldCharType="begin"/>
      </w:r>
      <w:r w:rsidRPr="00D37BC3">
        <w:instrText xml:space="preserve"> MACROBUTTON TPS_Table TABLE: Table with lines</w:instrText>
      </w:r>
      <w:r w:rsidRPr="00D37BC3">
        <w:rPr>
          <w:vanish/>
        </w:rPr>
        <w:fldChar w:fldCharType="begin"/>
      </w:r>
      <w:r w:rsidRPr="00D37BC3">
        <w:rPr>
          <w:vanish/>
        </w:rPr>
        <w:instrText>Name="Table with lines" Columns="2" HeaderRows="1" BodyRows="6" FooterRows="0" KeepTableWidth="True" KeepWidths="True" KeepHAlign="True" KeepVAlign="True"</w:instrText>
      </w:r>
      <w:r w:rsidRPr="00D37BC3">
        <w:rPr>
          <w:vanish/>
        </w:rPr>
        <w:fldChar w:fldCharType="end"/>
      </w:r>
      <w:r w:rsidRPr="00D37BC3">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6046"/>
      </w:tblGrid>
      <w:tr w:rsidR="0070626E" w:rsidRPr="00A55B37" w:rsidTr="00724DF2">
        <w:trPr>
          <w:jc w:val="center"/>
        </w:trPr>
        <w:tc>
          <w:tcPr>
            <w:tcW w:w="3197" w:type="dxa"/>
            <w:shd w:val="clear" w:color="auto" w:fill="auto"/>
          </w:tcPr>
          <w:p w:rsidR="0070626E" w:rsidRPr="00A55B37" w:rsidRDefault="0070626E" w:rsidP="00724DF2">
            <w:pPr>
              <w:pStyle w:val="Tableheader"/>
            </w:pPr>
            <w:r w:rsidRPr="00A55B37">
              <w:t>Verification area</w:t>
            </w:r>
          </w:p>
        </w:tc>
        <w:tc>
          <w:tcPr>
            <w:tcW w:w="6045" w:type="dxa"/>
            <w:shd w:val="clear" w:color="auto" w:fill="auto"/>
          </w:tcPr>
          <w:p w:rsidR="0070626E" w:rsidRPr="00A55B37" w:rsidRDefault="0070626E" w:rsidP="00724DF2">
            <w:pPr>
              <w:pStyle w:val="Tableheader"/>
            </w:pPr>
            <w:r w:rsidRPr="00A55B37">
              <w:t>Specification of area</w:t>
            </w:r>
            <w:bookmarkStart w:id="49" w:name="_p_8CE720364917C24181C4FB05EE10F417"/>
            <w:bookmarkEnd w:id="49"/>
          </w:p>
        </w:tc>
      </w:tr>
      <w:tr w:rsidR="0070626E" w:rsidRPr="00A55B37" w:rsidTr="00724DF2">
        <w:trPr>
          <w:jc w:val="center"/>
        </w:trPr>
        <w:tc>
          <w:tcPr>
            <w:tcW w:w="3197" w:type="dxa"/>
            <w:shd w:val="clear" w:color="auto" w:fill="auto"/>
          </w:tcPr>
          <w:p w:rsidR="0070626E" w:rsidRPr="00A55B37" w:rsidRDefault="0070626E" w:rsidP="00724DF2">
            <w:pPr>
              <w:pStyle w:val="Tablebody"/>
            </w:pPr>
            <w:r w:rsidRPr="00A55B37">
              <w:t>Western North Pacific:</w:t>
            </w:r>
          </w:p>
        </w:tc>
        <w:tc>
          <w:tcPr>
            <w:tcW w:w="6045" w:type="dxa"/>
            <w:shd w:val="clear" w:color="auto" w:fill="auto"/>
          </w:tcPr>
          <w:p w:rsidR="0070626E" w:rsidRPr="00A55B37" w:rsidRDefault="0070626E" w:rsidP="00724DF2">
            <w:pPr>
              <w:pStyle w:val="Tablebody"/>
            </w:pPr>
            <w:r w:rsidRPr="00A55B37">
              <w:t>0°–90°N, 100°E–180°E</w:t>
            </w:r>
            <w:bookmarkStart w:id="50" w:name="_p_9B1B56720B2B524C89251825B1003331"/>
            <w:bookmarkEnd w:id="50"/>
          </w:p>
        </w:tc>
      </w:tr>
      <w:tr w:rsidR="0070626E" w:rsidRPr="00A55B37" w:rsidTr="00724DF2">
        <w:trPr>
          <w:jc w:val="center"/>
        </w:trPr>
        <w:tc>
          <w:tcPr>
            <w:tcW w:w="3197" w:type="dxa"/>
            <w:shd w:val="clear" w:color="auto" w:fill="auto"/>
          </w:tcPr>
          <w:p w:rsidR="0070626E" w:rsidRPr="00A55B37" w:rsidRDefault="0070626E" w:rsidP="00724DF2">
            <w:pPr>
              <w:pStyle w:val="Tablebody"/>
            </w:pPr>
            <w:r w:rsidRPr="00A55B37">
              <w:t>Eastern North Pacific, including central North Pacific</w:t>
            </w:r>
          </w:p>
        </w:tc>
        <w:tc>
          <w:tcPr>
            <w:tcW w:w="6045" w:type="dxa"/>
            <w:shd w:val="clear" w:color="auto" w:fill="auto"/>
          </w:tcPr>
          <w:p w:rsidR="0070626E" w:rsidRPr="00A55B37" w:rsidRDefault="0070626E" w:rsidP="00724DF2">
            <w:pPr>
              <w:pStyle w:val="Tablebody"/>
            </w:pPr>
            <w:r w:rsidRPr="00A55B37">
              <w:t>EQ–90°N, 180°W–West Coast of North and South American Continent</w:t>
            </w:r>
            <w:bookmarkStart w:id="51" w:name="_p_59BB9E1B5F7CFE4E96423805295E9D4A"/>
            <w:bookmarkEnd w:id="51"/>
          </w:p>
          <w:p w:rsidR="0070626E" w:rsidRPr="00A55B37" w:rsidRDefault="0070626E" w:rsidP="00724DF2">
            <w:pPr>
              <w:pStyle w:val="Tablebody"/>
            </w:pPr>
            <w:r w:rsidRPr="00A55B37">
              <w:t>(Tropical cyclones that are generated in this area are categorized as being of this area throughout their lifetime.)</w:t>
            </w:r>
            <w:bookmarkStart w:id="52" w:name="_p_F5D130443B59EB4597353029BEA7192E"/>
            <w:bookmarkStart w:id="53" w:name="_p_69B2E9C38213D840890772890E41A67F"/>
            <w:bookmarkStart w:id="54" w:name="_p_8D867F093B71A0479F69F53554CCD32B"/>
            <w:bookmarkEnd w:id="52"/>
            <w:bookmarkEnd w:id="53"/>
            <w:bookmarkEnd w:id="54"/>
          </w:p>
        </w:tc>
      </w:tr>
      <w:tr w:rsidR="0070626E" w:rsidRPr="00A55B37" w:rsidTr="00724DF2">
        <w:trPr>
          <w:jc w:val="center"/>
        </w:trPr>
        <w:tc>
          <w:tcPr>
            <w:tcW w:w="3197" w:type="dxa"/>
            <w:shd w:val="clear" w:color="auto" w:fill="auto"/>
          </w:tcPr>
          <w:p w:rsidR="0070626E" w:rsidRPr="00A55B37" w:rsidRDefault="0070626E" w:rsidP="00724DF2">
            <w:pPr>
              <w:pStyle w:val="Tablebody"/>
            </w:pPr>
            <w:r w:rsidRPr="00A55B37">
              <w:t>North Atlantic Ocean</w:t>
            </w:r>
          </w:p>
        </w:tc>
        <w:tc>
          <w:tcPr>
            <w:tcW w:w="6045" w:type="dxa"/>
            <w:shd w:val="clear" w:color="auto" w:fill="auto"/>
          </w:tcPr>
          <w:p w:rsidR="0070626E" w:rsidRPr="00A55B37" w:rsidRDefault="0070626E" w:rsidP="00724DF2">
            <w:pPr>
              <w:pStyle w:val="Tablebody"/>
            </w:pPr>
            <w:r w:rsidRPr="00A55B37">
              <w:t xml:space="preserve">Caribbean Sea, Gulf of Mexico, and EQ–90°N, East Coast of North </w:t>
            </w:r>
            <w:r w:rsidRPr="00A55B37">
              <w:lastRenderedPageBreak/>
              <w:t>and South American Continent–35°W</w:t>
            </w:r>
            <w:bookmarkStart w:id="55" w:name="_p_38DA27D3C5A89949BE07EE11B6284C9F"/>
            <w:bookmarkEnd w:id="55"/>
          </w:p>
          <w:p w:rsidR="0070626E" w:rsidRPr="00A55B37" w:rsidRDefault="0070626E" w:rsidP="00724DF2">
            <w:pPr>
              <w:pStyle w:val="Tablebody"/>
            </w:pPr>
            <w:r w:rsidRPr="00A55B37">
              <w:t>(Tropical cyclones that are generated in this area are categorized as being of this area throughout their lifetime.)</w:t>
            </w:r>
            <w:bookmarkStart w:id="56" w:name="_p_AB3B5583CEE3414FBB52CD1F46175608"/>
            <w:bookmarkStart w:id="57" w:name="_p_BF4945A42F3C6F439B1A6125B18BF9C1"/>
            <w:bookmarkStart w:id="58" w:name="_p_59EB43524895D54C82BFCC1CFE8B256C"/>
            <w:bookmarkEnd w:id="56"/>
            <w:bookmarkEnd w:id="57"/>
            <w:bookmarkEnd w:id="58"/>
          </w:p>
        </w:tc>
      </w:tr>
      <w:tr w:rsidR="0070626E" w:rsidRPr="00A55B37" w:rsidTr="00724DF2">
        <w:trPr>
          <w:jc w:val="center"/>
        </w:trPr>
        <w:tc>
          <w:tcPr>
            <w:tcW w:w="3197" w:type="dxa"/>
            <w:shd w:val="clear" w:color="auto" w:fill="auto"/>
          </w:tcPr>
          <w:p w:rsidR="0070626E" w:rsidRPr="00A55B37" w:rsidRDefault="0070626E" w:rsidP="00724DF2">
            <w:pPr>
              <w:pStyle w:val="Tablebody"/>
            </w:pPr>
            <w:r w:rsidRPr="00A55B37">
              <w:lastRenderedPageBreak/>
              <w:t>North Indian Ocean</w:t>
            </w:r>
          </w:p>
        </w:tc>
        <w:tc>
          <w:tcPr>
            <w:tcW w:w="6045" w:type="dxa"/>
            <w:shd w:val="clear" w:color="auto" w:fill="auto"/>
          </w:tcPr>
          <w:p w:rsidR="0070626E" w:rsidRPr="00A55B37" w:rsidRDefault="0070626E" w:rsidP="00724DF2">
            <w:pPr>
              <w:pStyle w:val="Tablebody"/>
            </w:pPr>
            <w:r w:rsidRPr="00A55B37">
              <w:t>EQ–Eurasian Continent, 30°E–100°E</w:t>
            </w:r>
            <w:bookmarkStart w:id="59" w:name="_p_244A2E10526D7E40AD7E17BA7E38579B"/>
            <w:bookmarkEnd w:id="59"/>
          </w:p>
        </w:tc>
      </w:tr>
      <w:tr w:rsidR="0070626E" w:rsidRPr="00A55B37" w:rsidTr="00724DF2">
        <w:trPr>
          <w:jc w:val="center"/>
        </w:trPr>
        <w:tc>
          <w:tcPr>
            <w:tcW w:w="3197" w:type="dxa"/>
            <w:shd w:val="clear" w:color="auto" w:fill="auto"/>
          </w:tcPr>
          <w:p w:rsidR="0070626E" w:rsidRPr="00A55B37" w:rsidRDefault="0070626E" w:rsidP="00724DF2">
            <w:pPr>
              <w:pStyle w:val="Tablebody"/>
            </w:pPr>
            <w:r w:rsidRPr="00A55B37">
              <w:t>South Indian Ocean</w:t>
            </w:r>
          </w:p>
        </w:tc>
        <w:tc>
          <w:tcPr>
            <w:tcW w:w="6045" w:type="dxa"/>
            <w:shd w:val="clear" w:color="auto" w:fill="auto"/>
          </w:tcPr>
          <w:p w:rsidR="0070626E" w:rsidRPr="00A55B37" w:rsidRDefault="0070626E" w:rsidP="00724DF2">
            <w:pPr>
              <w:pStyle w:val="Tablebody"/>
            </w:pPr>
            <w:r w:rsidRPr="00A55B37">
              <w:t>EQ–90°S, 30°E–90°E</w:t>
            </w:r>
            <w:bookmarkStart w:id="60" w:name="_p_8BCC2ACE15517747BCEC2C631A0577B5"/>
            <w:bookmarkEnd w:id="60"/>
          </w:p>
        </w:tc>
      </w:tr>
      <w:tr w:rsidR="0070626E" w:rsidRPr="00A55B37" w:rsidTr="00724DF2">
        <w:trPr>
          <w:jc w:val="center"/>
        </w:trPr>
        <w:tc>
          <w:tcPr>
            <w:tcW w:w="3197" w:type="dxa"/>
            <w:shd w:val="clear" w:color="auto" w:fill="auto"/>
          </w:tcPr>
          <w:p w:rsidR="0070626E" w:rsidRPr="00A55B37" w:rsidRDefault="0070626E" w:rsidP="00724DF2">
            <w:pPr>
              <w:pStyle w:val="Tablebody"/>
            </w:pPr>
            <w:r w:rsidRPr="00A55B37">
              <w:t>South Pacific and around Australia</w:t>
            </w:r>
          </w:p>
        </w:tc>
        <w:tc>
          <w:tcPr>
            <w:tcW w:w="6045" w:type="dxa"/>
            <w:shd w:val="clear" w:color="auto" w:fill="auto"/>
          </w:tcPr>
          <w:p w:rsidR="0070626E" w:rsidRPr="00A55B37" w:rsidRDefault="0070626E" w:rsidP="00724DF2">
            <w:pPr>
              <w:pStyle w:val="Tablebody"/>
            </w:pPr>
            <w:r w:rsidRPr="00A55B37">
              <w:t>EQ–90°S, 90°E–120°W</w:t>
            </w:r>
            <w:bookmarkStart w:id="61" w:name="_p_93886A1E0C9F4B47BE2EFB03BEC178A6"/>
            <w:bookmarkEnd w:id="61"/>
          </w:p>
        </w:tc>
      </w:tr>
    </w:tbl>
    <w:p w:rsidR="0070626E" w:rsidRPr="00A55B37" w:rsidRDefault="0070626E" w:rsidP="0070626E">
      <w:pPr>
        <w:pStyle w:val="Heading1NOToC"/>
      </w:pPr>
      <w:r w:rsidRPr="00A55B37">
        <w:t>7.</w:t>
      </w:r>
      <w:r w:rsidRPr="00A55B37">
        <w:tab/>
        <w:t>Verifying datasets</w:t>
      </w:r>
      <w:bookmarkStart w:id="62" w:name="_p_482FA401AC3E0F40896E84915BF169EC"/>
      <w:bookmarkEnd w:id="62"/>
    </w:p>
    <w:p w:rsidR="0070626E" w:rsidRPr="00A55B37" w:rsidRDefault="0070626E" w:rsidP="0070626E">
      <w:pPr>
        <w:pStyle w:val="Bodytext"/>
      </w:pPr>
      <w:r w:rsidRPr="00D21942">
        <w:rPr>
          <w:rStyle w:val="Semibold"/>
        </w:rPr>
        <w:t>Verification shall be carried out for best-track datasets available at the Lead Centre(s).</w:t>
      </w:r>
      <w:r w:rsidRPr="00A55B37">
        <w:t xml:space="preserve"> Best-track datasets are originally provided by RSMCs participating in tropical cyclone forecasting, as defined in 2.2.2.6.</w:t>
      </w:r>
      <w:bookmarkStart w:id="63" w:name="_p_15E862B4D2E5204A9784EECA1754F104"/>
      <w:bookmarkEnd w:id="63"/>
    </w:p>
    <w:p w:rsidR="0070626E" w:rsidRPr="00F55BFD" w:rsidRDefault="0070626E" w:rsidP="0070626E">
      <w:pPr>
        <w:pStyle w:val="Heading1NOToC"/>
      </w:pPr>
      <w:r w:rsidRPr="00A55B37">
        <w:t>8.</w:t>
      </w:r>
      <w:r w:rsidRPr="00A55B37">
        <w:tab/>
        <w:t>Grid and interpolation</w:t>
      </w:r>
      <w:bookmarkStart w:id="64" w:name="_p_A4FD1CDC957CEF439D831BFD214BC1F9"/>
      <w:bookmarkEnd w:id="64"/>
    </w:p>
    <w:p w:rsidR="0070626E" w:rsidRPr="00A55B37" w:rsidRDefault="0070626E" w:rsidP="0070626E">
      <w:pPr>
        <w:pStyle w:val="Bodytextsemibold"/>
      </w:pPr>
      <w:r w:rsidRPr="00A55B37">
        <w:t>Verification shall be made using forecast data on a regular latitude–longitude grid. The Lead Centre</w:t>
      </w:r>
      <w:r>
        <w:t>(s)</w:t>
      </w:r>
      <w:r w:rsidRPr="00A55B37">
        <w:t xml:space="preserve"> shall calculate position and pressure of tropical cyclone centres by linear interpolation using five data of the nearest grid point and its four neighbouring grid points to the north, south, east and west.</w:t>
      </w:r>
      <w:bookmarkStart w:id="65" w:name="_p_77E712523F7D9545A911EB408A3E372B"/>
      <w:bookmarkEnd w:id="65"/>
    </w:p>
    <w:p w:rsidR="0070626E" w:rsidRPr="00A55B37" w:rsidRDefault="0070626E" w:rsidP="0070626E">
      <w:pPr>
        <w:pStyle w:val="Heading1NOToC"/>
      </w:pPr>
      <w:r w:rsidRPr="00A55B37">
        <w:t>9.</w:t>
      </w:r>
      <w:r w:rsidRPr="00A55B37">
        <w:tab/>
        <w:t>Scores</w:t>
      </w:r>
      <w:bookmarkStart w:id="66" w:name="_p_9E7C355C6E137F40A1406C6957ABA453"/>
      <w:bookmarkEnd w:id="66"/>
    </w:p>
    <w:p w:rsidR="0070626E" w:rsidRPr="00A55B37" w:rsidRDefault="0070626E" w:rsidP="0070626E">
      <w:pPr>
        <w:pStyle w:val="Bodytext"/>
      </w:pPr>
      <w:r w:rsidRPr="00A55B37">
        <w:t>Scores are to be calculated for each tropical cyclone individually.</w:t>
      </w:r>
      <w:bookmarkStart w:id="67" w:name="_p_D047E68C2EF747409FBE689016E2B3A4"/>
      <w:bookmarkEnd w:id="67"/>
    </w:p>
    <w:p w:rsidR="0070626E" w:rsidRPr="00A55B37" w:rsidRDefault="0070626E" w:rsidP="0070626E">
      <w:pPr>
        <w:pStyle w:val="Bodytext"/>
      </w:pPr>
      <w:r w:rsidRPr="00A55B37">
        <w:t xml:space="preserve">The following scores are to be calculated </w:t>
      </w:r>
      <w:r>
        <w:t>against the best-track dataset:</w:t>
      </w:r>
      <w:bookmarkStart w:id="68" w:name="_p_E5767ABFCE9E37468582547DC3963563"/>
      <w:bookmarkEnd w:id="68"/>
    </w:p>
    <w:p w:rsidR="0070626E" w:rsidRPr="00A55B37" w:rsidRDefault="0070626E" w:rsidP="0070626E">
      <w:pPr>
        <w:pStyle w:val="Indent1NOspaceafter"/>
      </w:pPr>
      <w:r w:rsidRPr="00A55B37">
        <w:t>(a)</w:t>
      </w:r>
      <w:r w:rsidRPr="00A55B37">
        <w:tab/>
        <w:t>Detection rate;</w:t>
      </w:r>
      <w:bookmarkStart w:id="69" w:name="_p_3B9A154F341EAB418D7AB26F73F5A631"/>
      <w:bookmarkEnd w:id="69"/>
    </w:p>
    <w:p w:rsidR="0070626E" w:rsidRPr="00A55B37" w:rsidRDefault="0070626E" w:rsidP="0070626E">
      <w:pPr>
        <w:pStyle w:val="Indent1"/>
      </w:pPr>
      <w:r w:rsidRPr="00A55B37">
        <w:t>(b)</w:t>
      </w:r>
      <w:r w:rsidRPr="00A55B37">
        <w:tab/>
        <w:t>Storm track verification:</w:t>
      </w:r>
      <w:bookmarkStart w:id="70" w:name="_p_F80C00B3402C304DB47C659A94664E4E"/>
      <w:bookmarkEnd w:id="70"/>
    </w:p>
    <w:p w:rsidR="0070626E" w:rsidRPr="00A55B37" w:rsidRDefault="0070626E" w:rsidP="0070626E">
      <w:pPr>
        <w:pStyle w:val="Indent2NOspaceafter"/>
      </w:pPr>
      <w:r w:rsidRPr="00A55B37">
        <w:t>–</w:t>
      </w:r>
      <w:r w:rsidRPr="00A55B37">
        <w:tab/>
        <w:t>Position error: Distance between predicted and analysed tropical cyclone centres;</w:t>
      </w:r>
      <w:bookmarkStart w:id="71" w:name="_p_46CC1ADDF9F4D846A1F3D4634EBDAD9F"/>
      <w:bookmarkEnd w:id="71"/>
    </w:p>
    <w:p w:rsidR="0070626E" w:rsidRPr="00A55B37" w:rsidRDefault="0070626E" w:rsidP="0070626E">
      <w:pPr>
        <w:pStyle w:val="Indent2"/>
      </w:pPr>
      <w:r w:rsidRPr="00A55B37">
        <w:t>–</w:t>
      </w:r>
      <w:r w:rsidRPr="00A55B37">
        <w:tab/>
        <w:t>Along-track/cross-track (ATCT) bias (shown in the pictorial form of scatter diagram) (AT bias: bias in the direction of cyclone movement; CT bias: bias in the rectangular direction of cyclone;</w:t>
      </w:r>
      <w:bookmarkStart w:id="72" w:name="_p_8AA91FB2F15499459296DD815B913BCF"/>
      <w:bookmarkEnd w:id="72"/>
    </w:p>
    <w:p w:rsidR="0070626E" w:rsidRPr="00A55B37" w:rsidRDefault="0070626E" w:rsidP="0070626E">
      <w:pPr>
        <w:pStyle w:val="Indent1"/>
      </w:pPr>
      <w:r>
        <w:t>(c)</w:t>
      </w:r>
      <w:r w:rsidRPr="00A55B37">
        <w:tab/>
        <w:t>Bias of central pressure.</w:t>
      </w:r>
      <w:bookmarkStart w:id="73" w:name="_p_40C1A3118F7F864792041DED8EE915B0"/>
      <w:bookmarkEnd w:id="73"/>
    </w:p>
    <w:p w:rsidR="0070626E" w:rsidRPr="00A55B37" w:rsidRDefault="0070626E" w:rsidP="0070626E">
      <w:pPr>
        <w:pStyle w:val="Bodytext"/>
      </w:pPr>
      <w:r w:rsidRPr="00A55B37">
        <w:t>The mathematical formulation of the scores is documented on the Lead Centre</w:t>
      </w:r>
      <w:r>
        <w:t>(s)</w:t>
      </w:r>
      <w:r w:rsidRPr="00A55B37">
        <w:t xml:space="preserve"> for TCFV website</w:t>
      </w:r>
      <w:r>
        <w:t>(s)</w:t>
      </w:r>
      <w:r w:rsidRPr="00A55B37">
        <w:t>, together with supplementary information on score calculation.</w:t>
      </w:r>
      <w:bookmarkStart w:id="74" w:name="_p_D9FDFD2126152541971D50D34BE92EA2"/>
      <w:bookmarkEnd w:id="74"/>
    </w:p>
    <w:p w:rsidR="0070626E" w:rsidRPr="00A55B37" w:rsidRDefault="0070626E" w:rsidP="0070626E">
      <w:pPr>
        <w:pStyle w:val="Heading1NOToC"/>
      </w:pPr>
      <w:r w:rsidRPr="00A55B37">
        <w:t>10.</w:t>
      </w:r>
      <w:r w:rsidRPr="00A55B37">
        <w:tab/>
        <w:t>Exchange of forecast fields</w:t>
      </w:r>
      <w:bookmarkStart w:id="75" w:name="_p_E4A69718E27C7E42BD897B5B8A3E8E12"/>
      <w:bookmarkEnd w:id="75"/>
    </w:p>
    <w:p w:rsidR="0070626E" w:rsidRPr="00A55B37" w:rsidRDefault="0070626E" w:rsidP="0070626E">
      <w:pPr>
        <w:pStyle w:val="Bodytext"/>
      </w:pPr>
      <w:r w:rsidRPr="00D21942">
        <w:rPr>
          <w:rStyle w:val="Semibold"/>
        </w:rPr>
        <w:t>Each GDPFS-participating centre shall provide global fields annually to the Lead Centre(s) for TCFV on a regular latitude–longitude grid at the resolution of 1.5° longitude by 1.5° latitude resolution or finer.</w:t>
      </w:r>
      <w:r w:rsidRPr="00A55B37">
        <w:t xml:space="preserve"> Details of the procedure and the required format for the data are provided on the website</w:t>
      </w:r>
      <w:r>
        <w:t>(s)</w:t>
      </w:r>
      <w:r w:rsidRPr="00A55B37">
        <w:t xml:space="preserve"> of the Lead Centre</w:t>
      </w:r>
      <w:r>
        <w:t>(s)</w:t>
      </w:r>
      <w:r w:rsidRPr="00A55B37">
        <w:t>.</w:t>
      </w:r>
      <w:bookmarkStart w:id="76" w:name="_p_F070A60D8BCE4B4FB5065F3F3268DA45"/>
      <w:bookmarkEnd w:id="76"/>
    </w:p>
    <w:p w:rsidR="0070626E" w:rsidRPr="00A55B37" w:rsidRDefault="0070626E" w:rsidP="0070626E">
      <w:pPr>
        <w:pStyle w:val="Heading1NOToC"/>
      </w:pPr>
      <w:r w:rsidRPr="00A55B37">
        <w:t>11.</w:t>
      </w:r>
      <w:r w:rsidRPr="00A55B37">
        <w:tab/>
        <w:t>Exchange of scores</w:t>
      </w:r>
      <w:bookmarkStart w:id="77" w:name="_p_900FC73C5C74ED4CB0490386019E36F6"/>
      <w:bookmarkEnd w:id="77"/>
    </w:p>
    <w:p w:rsidR="0070626E" w:rsidRPr="00A55B37" w:rsidRDefault="0070626E" w:rsidP="0070626E">
      <w:pPr>
        <w:pStyle w:val="Bodytextsemibold"/>
      </w:pPr>
      <w:r w:rsidRPr="00A55B37">
        <w:t>All calculated scores in the text or binary form shall be made available on the Lead Centre</w:t>
      </w:r>
      <w:r>
        <w:t>(s)</w:t>
      </w:r>
      <w:r w:rsidRPr="00A55B37">
        <w:t xml:space="preserve"> for TCFV website</w:t>
      </w:r>
      <w:r>
        <w:t>(s)</w:t>
      </w:r>
      <w:r w:rsidRPr="00A55B37">
        <w:t>.</w:t>
      </w:r>
      <w:bookmarkStart w:id="78" w:name="_p_FEF8A98A78FC1E45BBFCBFB49EF5BF80"/>
      <w:bookmarkEnd w:id="78"/>
    </w:p>
    <w:p w:rsidR="0070626E" w:rsidRPr="00A55B37" w:rsidRDefault="0070626E" w:rsidP="0070626E">
      <w:pPr>
        <w:pStyle w:val="Bodytextsemibold"/>
      </w:pPr>
      <w:r w:rsidRPr="00A55B37">
        <w:lastRenderedPageBreak/>
        <w:t>The Lead Centre</w:t>
      </w:r>
      <w:r>
        <w:t>(s)</w:t>
      </w:r>
      <w:r w:rsidRPr="00A55B37">
        <w:t xml:space="preserve"> for TCVF shall also make available the scores in the pictorial form on its website</w:t>
      </w:r>
      <w:r>
        <w:t>(s)</w:t>
      </w:r>
      <w:r w:rsidRPr="00A55B37">
        <w:t xml:space="preserve"> as follows:</w:t>
      </w:r>
      <w:bookmarkStart w:id="79" w:name="_p_F83B26AD2286024E8B25315911BD7C32"/>
      <w:bookmarkEnd w:id="79"/>
    </w:p>
    <w:p w:rsidR="0070626E" w:rsidRPr="00A55B37" w:rsidRDefault="0070626E" w:rsidP="0070626E">
      <w:pPr>
        <w:pStyle w:val="Indent1semibold"/>
      </w:pPr>
      <w:r w:rsidRPr="00A55B37">
        <w:t>(a)</w:t>
      </w:r>
      <w:r w:rsidRPr="00A55B37">
        <w:tab/>
        <w:t>Detection rate of tropical storm: The score is drawn every 12 hours until 120 hours;</w:t>
      </w:r>
      <w:bookmarkStart w:id="80" w:name="_p_ED9CA1FFC354694EB40E88D04E68B1D6"/>
      <w:bookmarkEnd w:id="80"/>
    </w:p>
    <w:p w:rsidR="0070626E" w:rsidRPr="00A55B37" w:rsidRDefault="0070626E" w:rsidP="0070626E">
      <w:pPr>
        <w:pStyle w:val="Indent1semibold"/>
      </w:pPr>
      <w:r w:rsidRPr="00A55B37">
        <w:t>(b)</w:t>
      </w:r>
      <w:r w:rsidRPr="00A55B37">
        <w:tab/>
        <w:t>Storm track verification: Position error and ATCT bias are shown every 24 hours until 192 hours; position error is shown as a map; ATCT bias is shown in scatter-diagram form;</w:t>
      </w:r>
      <w:bookmarkStart w:id="81" w:name="_p_FA6D0102286A884AAC63158578C7C0D8"/>
      <w:bookmarkEnd w:id="81"/>
    </w:p>
    <w:p w:rsidR="0070626E" w:rsidRPr="00A55B37" w:rsidRDefault="0070626E" w:rsidP="0070626E">
      <w:pPr>
        <w:pStyle w:val="Indent1semibold"/>
      </w:pPr>
      <w:r>
        <w:t>(c)</w:t>
      </w:r>
      <w:r w:rsidRPr="00A55B37">
        <w:tab/>
        <w:t>Bias of central pressure: A scatter diagram of analysed and predicted central pressure is shown every 24 hours until 192 hours.</w:t>
      </w:r>
      <w:bookmarkStart w:id="82" w:name="_p_2FE4280ED30F1543A60F57F6EF798B95"/>
      <w:bookmarkEnd w:id="82"/>
    </w:p>
    <w:p w:rsidR="0070626E" w:rsidRPr="00A55B37" w:rsidRDefault="0070626E" w:rsidP="0070626E">
      <w:pPr>
        <w:pStyle w:val="Heading1NOToC"/>
      </w:pPr>
      <w:r w:rsidRPr="00A55B37">
        <w:t>12.</w:t>
      </w:r>
      <w:r w:rsidRPr="00A55B37">
        <w:tab/>
        <w:t>Documentation</w:t>
      </w:r>
      <w:bookmarkStart w:id="83" w:name="_p_46C92C688501654C926E6423DAFE4D77"/>
      <w:bookmarkEnd w:id="83"/>
    </w:p>
    <w:p w:rsidR="0070626E" w:rsidRPr="00A55B37" w:rsidRDefault="0070626E" w:rsidP="0070626E">
      <w:pPr>
        <w:pStyle w:val="Bodytextsemibold"/>
      </w:pPr>
      <w:r w:rsidRPr="00A55B37">
        <w:t>Global Data-processing and Forecasting System-participating centres shall provide to the Lead Centre</w:t>
      </w:r>
      <w:r>
        <w:t>(s)</w:t>
      </w:r>
      <w:r w:rsidRPr="00A55B37">
        <w:t xml:space="preserve"> on TCFV information on any changes to the production of the exchanged forecast fields.</w:t>
      </w:r>
      <w:bookmarkStart w:id="84" w:name="_p_99DBB0328130B144A8652BE8A7CF94D0"/>
      <w:bookmarkEnd w:id="84"/>
    </w:p>
    <w:p w:rsidR="0090152C" w:rsidRPr="0070626E" w:rsidRDefault="0090152C" w:rsidP="00DE1CF9">
      <w:bookmarkStart w:id="85" w:name="_GoBack"/>
      <w:bookmarkEnd w:id="85"/>
    </w:p>
    <w:sectPr w:rsidR="0090152C" w:rsidRPr="0070626E" w:rsidSect="002C2244">
      <w:pgSz w:w="11907" w:h="16839"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Neal Moodie" w:date="2018-08-01T17:10:00Z" w:initials="NM">
    <w:p w:rsidR="0090152C" w:rsidRDefault="0090152C">
      <w:pPr>
        <w:pStyle w:val="CommentText"/>
      </w:pPr>
      <w:r>
        <w:rPr>
          <w:rStyle w:val="CommentReference"/>
        </w:rPr>
        <w:annotationRef/>
      </w:r>
      <w:r>
        <w:t>We may need to add a similar line to describe the preparation of information suitable for inclusion in warnings issued to shipping, or that would be forwarded to the Issuing Service (in the role as a Preparation Service)</w:t>
      </w:r>
    </w:p>
  </w:comment>
  <w:comment w:id="16" w:author="Neal Moodie" w:date="2018-08-01T17:07:00Z" w:initials="NM">
    <w:p w:rsidR="0090152C" w:rsidRDefault="0090152C">
      <w:pPr>
        <w:pStyle w:val="CommentText"/>
      </w:pPr>
      <w:r>
        <w:rPr>
          <w:rStyle w:val="CommentReference"/>
        </w:rPr>
        <w:annotationRef/>
      </w:r>
      <w:r>
        <w:t xml:space="preserve">The WWMIWS Committee needs to propose a new description that adequately describes the WWMIWS.  </w:t>
      </w:r>
    </w:p>
    <w:p w:rsidR="0090152C" w:rsidRDefault="0090152C">
      <w:pPr>
        <w:pStyle w:val="CommentText"/>
      </w:pPr>
      <w:r>
        <w:t>It may also require a re-structure of the activities section above.</w:t>
      </w:r>
    </w:p>
    <w:p w:rsidR="0090152C" w:rsidRDefault="0090152C">
      <w:pPr>
        <w:pStyle w:val="CommentText"/>
      </w:pPr>
      <w:r>
        <w:t>Needs to reference WMO No.558.</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52C" w:rsidRDefault="0090152C" w:rsidP="003E2ED3">
      <w:pPr>
        <w:spacing w:after="0" w:line="240" w:lineRule="auto"/>
      </w:pPr>
      <w:r>
        <w:separator/>
      </w:r>
    </w:p>
  </w:endnote>
  <w:endnote w:type="continuationSeparator" w:id="0">
    <w:p w:rsidR="0090152C" w:rsidRDefault="0090152C"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52C" w:rsidRDefault="0090152C" w:rsidP="003E2ED3">
      <w:pPr>
        <w:spacing w:after="0" w:line="240" w:lineRule="auto"/>
      </w:pPr>
      <w:r>
        <w:separator/>
      </w:r>
    </w:p>
  </w:footnote>
  <w:footnote w:type="continuationSeparator" w:id="0">
    <w:p w:rsidR="0090152C" w:rsidRDefault="0090152C" w:rsidP="003E2E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52C"/>
    <w:rsid w:val="000779FA"/>
    <w:rsid w:val="00275557"/>
    <w:rsid w:val="002C2244"/>
    <w:rsid w:val="003B6850"/>
    <w:rsid w:val="003E2ED3"/>
    <w:rsid w:val="005C1961"/>
    <w:rsid w:val="0061201D"/>
    <w:rsid w:val="0070626E"/>
    <w:rsid w:val="0090152C"/>
    <w:rsid w:val="00916735"/>
    <w:rsid w:val="00D6270F"/>
    <w:rsid w:val="00DE1CF9"/>
    <w:rsid w:val="00F936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customStyle="1" w:styleId="Heading3">
    <w:name w:val="Heading_3"/>
    <w:basedOn w:val="Normal"/>
    <w:qFormat/>
    <w:rsid w:val="0090152C"/>
    <w:pPr>
      <w:keepNext/>
      <w:tabs>
        <w:tab w:val="left" w:pos="1120"/>
      </w:tabs>
      <w:spacing w:before="240" w:after="240" w:line="240" w:lineRule="exact"/>
      <w:ind w:left="1123" w:hanging="1123"/>
      <w:outlineLvl w:val="5"/>
    </w:pPr>
    <w:rPr>
      <w:rFonts w:eastAsiaTheme="minorHAnsi" w:cstheme="majorBidi"/>
      <w:b/>
      <w:i/>
      <w:color w:val="000000" w:themeColor="text1"/>
      <w:lang w:eastAsia="zh-TW"/>
    </w:rPr>
  </w:style>
  <w:style w:type="paragraph" w:customStyle="1" w:styleId="Bodytextsemibold">
    <w:name w:val="Body text semibold"/>
    <w:basedOn w:val="Normal"/>
    <w:rsid w:val="0090152C"/>
    <w:pPr>
      <w:tabs>
        <w:tab w:val="left" w:pos="1120"/>
      </w:tabs>
      <w:spacing w:after="240" w:line="240" w:lineRule="auto"/>
    </w:pPr>
    <w:rPr>
      <w:rFonts w:eastAsiaTheme="minorHAnsi" w:cstheme="majorBidi"/>
      <w:b/>
      <w:color w:val="7F7F7F" w:themeColor="text1" w:themeTint="80"/>
      <w:szCs w:val="20"/>
      <w:lang w:eastAsia="zh-TW"/>
    </w:rPr>
  </w:style>
  <w:style w:type="paragraph" w:customStyle="1" w:styleId="Note">
    <w:name w:val="Note"/>
    <w:qFormat/>
    <w:rsid w:val="0090152C"/>
    <w:pPr>
      <w:tabs>
        <w:tab w:val="left" w:pos="720"/>
      </w:tabs>
      <w:spacing w:after="240" w:line="200" w:lineRule="exact"/>
    </w:pPr>
    <w:rPr>
      <w:rFonts w:ascii="Verdana" w:eastAsia="Arial" w:hAnsi="Verdana" w:cs="Arial"/>
      <w:color w:val="000000" w:themeColor="text1"/>
      <w:sz w:val="16"/>
      <w:lang w:val="en-GB" w:eastAsia="en-US"/>
    </w:rPr>
  </w:style>
  <w:style w:type="paragraph" w:customStyle="1" w:styleId="Indent1semibold">
    <w:name w:val="Indent 1 semi bold"/>
    <w:basedOn w:val="Normal"/>
    <w:qFormat/>
    <w:rsid w:val="0090152C"/>
    <w:pPr>
      <w:tabs>
        <w:tab w:val="left" w:pos="480"/>
      </w:tabs>
      <w:spacing w:after="240" w:line="240" w:lineRule="exact"/>
      <w:ind w:left="480" w:hanging="480"/>
    </w:pPr>
    <w:rPr>
      <w:rFonts w:eastAsia="Arial" w:cs="Arial"/>
      <w:b/>
      <w:color w:val="7F7F7F" w:themeColor="text1" w:themeTint="80"/>
      <w:lang w:eastAsia="en-US"/>
    </w:rPr>
  </w:style>
  <w:style w:type="paragraph" w:customStyle="1" w:styleId="Tablecaption">
    <w:name w:val="Table caption"/>
    <w:basedOn w:val="Normal"/>
    <w:rsid w:val="0090152C"/>
    <w:pPr>
      <w:keepNext/>
      <w:spacing w:before="240" w:after="240" w:line="240" w:lineRule="exact"/>
      <w:jc w:val="center"/>
    </w:pPr>
    <w:rPr>
      <w:rFonts w:eastAsiaTheme="minorHAnsi" w:cstheme="majorBidi"/>
      <w:b/>
      <w:color w:val="7F7F7F" w:themeColor="text1" w:themeTint="80"/>
      <w:szCs w:val="20"/>
      <w:lang w:eastAsia="zh-TW"/>
    </w:rPr>
  </w:style>
  <w:style w:type="paragraph" w:customStyle="1" w:styleId="Tableheader">
    <w:name w:val="Table header"/>
    <w:basedOn w:val="Normal"/>
    <w:link w:val="TableheaderChar"/>
    <w:rsid w:val="0090152C"/>
    <w:pPr>
      <w:spacing w:before="125" w:after="125" w:line="220" w:lineRule="exact"/>
      <w:jc w:val="center"/>
    </w:pPr>
    <w:rPr>
      <w:rFonts w:eastAsiaTheme="minorHAnsi" w:cstheme="majorBidi"/>
      <w:i/>
      <w:color w:val="000000" w:themeColor="text1"/>
      <w:sz w:val="18"/>
      <w:szCs w:val="20"/>
      <w:lang w:eastAsia="en-US"/>
    </w:rPr>
  </w:style>
  <w:style w:type="character" w:customStyle="1" w:styleId="TableheaderChar">
    <w:name w:val="Table header Char"/>
    <w:basedOn w:val="DefaultParagraphFont"/>
    <w:link w:val="Tableheader"/>
    <w:rsid w:val="0090152C"/>
    <w:rPr>
      <w:rFonts w:ascii="Verdana" w:eastAsiaTheme="minorHAnsi" w:hAnsi="Verdana" w:cstheme="majorBidi"/>
      <w:i/>
      <w:color w:val="000000" w:themeColor="text1"/>
      <w:sz w:val="18"/>
      <w:szCs w:val="20"/>
      <w:lang w:val="en-GB" w:eastAsia="en-US"/>
    </w:rPr>
  </w:style>
  <w:style w:type="paragraph" w:customStyle="1" w:styleId="Tablebody">
    <w:name w:val="Table body"/>
    <w:basedOn w:val="Normal"/>
    <w:link w:val="TablebodyChar"/>
    <w:rsid w:val="0090152C"/>
    <w:pPr>
      <w:spacing w:after="0" w:line="220" w:lineRule="exact"/>
    </w:pPr>
    <w:rPr>
      <w:rFonts w:eastAsiaTheme="minorHAnsi" w:cstheme="majorBidi"/>
      <w:color w:val="000000" w:themeColor="text1"/>
      <w:spacing w:val="-4"/>
      <w:sz w:val="18"/>
      <w:szCs w:val="20"/>
      <w:lang w:eastAsia="zh-TW"/>
    </w:rPr>
  </w:style>
  <w:style w:type="character" w:customStyle="1" w:styleId="TablebodyChar">
    <w:name w:val="Table body Char"/>
    <w:basedOn w:val="DefaultParagraphFont"/>
    <w:link w:val="Tablebody"/>
    <w:rsid w:val="0090152C"/>
    <w:rPr>
      <w:rFonts w:ascii="Verdana" w:eastAsiaTheme="minorHAnsi" w:hAnsi="Verdana" w:cstheme="majorBidi"/>
      <w:color w:val="000000" w:themeColor="text1"/>
      <w:spacing w:val="-4"/>
      <w:sz w:val="18"/>
      <w:szCs w:val="20"/>
      <w:lang w:val="en-GB" w:eastAsia="zh-TW"/>
    </w:rPr>
  </w:style>
  <w:style w:type="character" w:customStyle="1" w:styleId="Semibolditalic">
    <w:name w:val="Semi bold italic"/>
    <w:qFormat/>
    <w:rsid w:val="0090152C"/>
    <w:rPr>
      <w:b/>
      <w:i/>
      <w:color w:val="7F7F7F" w:themeColor="text1" w:themeTint="80"/>
    </w:rPr>
  </w:style>
  <w:style w:type="paragraph" w:customStyle="1" w:styleId="TPSTable">
    <w:name w:val="TPS Table"/>
    <w:basedOn w:val="Normal"/>
    <w:next w:val="Normal"/>
    <w:uiPriority w:val="1"/>
    <w:rsid w:val="0090152C"/>
    <w:pPr>
      <w:pBdr>
        <w:top w:val="single" w:sz="2" w:space="3" w:color="auto"/>
      </w:pBdr>
      <w:shd w:val="clear" w:color="auto" w:fill="C0AB87"/>
      <w:spacing w:after="0" w:line="300" w:lineRule="auto"/>
    </w:pPr>
    <w:rPr>
      <w:rFonts w:ascii="Arial" w:eastAsia="Times New Roman" w:hAnsi="Arial" w:cs="Times New Roman"/>
      <w:b/>
      <w:color w:val="2F275B"/>
      <w:sz w:val="18"/>
      <w:szCs w:val="24"/>
      <w:lang w:eastAsia="zh-TW"/>
    </w:rPr>
  </w:style>
  <w:style w:type="character" w:styleId="CommentReference">
    <w:name w:val="annotation reference"/>
    <w:basedOn w:val="DefaultParagraphFont"/>
    <w:uiPriority w:val="99"/>
    <w:semiHidden/>
    <w:unhideWhenUsed/>
    <w:rsid w:val="0090152C"/>
    <w:rPr>
      <w:sz w:val="16"/>
      <w:szCs w:val="16"/>
    </w:rPr>
  </w:style>
  <w:style w:type="paragraph" w:styleId="CommentText">
    <w:name w:val="annotation text"/>
    <w:basedOn w:val="Normal"/>
    <w:link w:val="CommentTextChar"/>
    <w:uiPriority w:val="99"/>
    <w:semiHidden/>
    <w:unhideWhenUsed/>
    <w:rsid w:val="0090152C"/>
    <w:pPr>
      <w:spacing w:line="240" w:lineRule="auto"/>
    </w:pPr>
    <w:rPr>
      <w:szCs w:val="20"/>
    </w:rPr>
  </w:style>
  <w:style w:type="character" w:customStyle="1" w:styleId="CommentTextChar">
    <w:name w:val="Comment Text Char"/>
    <w:basedOn w:val="DefaultParagraphFont"/>
    <w:link w:val="CommentText"/>
    <w:uiPriority w:val="99"/>
    <w:semiHidden/>
    <w:rsid w:val="0090152C"/>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90152C"/>
    <w:rPr>
      <w:b/>
      <w:bCs/>
    </w:rPr>
  </w:style>
  <w:style w:type="character" w:customStyle="1" w:styleId="CommentSubjectChar">
    <w:name w:val="Comment Subject Char"/>
    <w:basedOn w:val="CommentTextChar"/>
    <w:link w:val="CommentSubject"/>
    <w:uiPriority w:val="99"/>
    <w:semiHidden/>
    <w:rsid w:val="0090152C"/>
    <w:rPr>
      <w:rFonts w:ascii="Verdana" w:hAnsi="Verdana"/>
      <w:b/>
      <w:bCs/>
      <w:sz w:val="20"/>
      <w:szCs w:val="20"/>
      <w:lang w:val="en-GB"/>
    </w:rPr>
  </w:style>
  <w:style w:type="paragraph" w:styleId="BalloonText">
    <w:name w:val="Balloon Text"/>
    <w:basedOn w:val="Normal"/>
    <w:link w:val="BalloonTextChar"/>
    <w:uiPriority w:val="99"/>
    <w:semiHidden/>
    <w:unhideWhenUsed/>
    <w:rsid w:val="00901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52C"/>
    <w:rPr>
      <w:rFonts w:ascii="Tahoma" w:hAnsi="Tahoma" w:cs="Tahoma"/>
      <w:sz w:val="16"/>
      <w:szCs w:val="16"/>
      <w:lang w:val="en-GB"/>
    </w:rPr>
  </w:style>
  <w:style w:type="character" w:styleId="Hyperlink">
    <w:name w:val="Hyperlink"/>
    <w:basedOn w:val="DefaultParagraphFont"/>
    <w:rsid w:val="00D6270F"/>
    <w:rPr>
      <w:color w:val="0000FF" w:themeColor="hyperlink"/>
      <w:u w:val="none"/>
    </w:rPr>
  </w:style>
  <w:style w:type="character" w:customStyle="1" w:styleId="TPSHyperlink">
    <w:name w:val="TPS Hyperlink"/>
    <w:uiPriority w:val="1"/>
    <w:rsid w:val="00D6270F"/>
    <w:rPr>
      <w:rFonts w:ascii="Arial" w:eastAsia="Times New Roman" w:hAnsi="Arial" w:cs="Times New Roman"/>
      <w:b/>
      <w:noProof w:val="0"/>
      <w:color w:val="2F275B"/>
      <w:sz w:val="18"/>
      <w:szCs w:val="24"/>
      <w:shd w:val="clear" w:color="auto" w:fill="E1ADB4"/>
      <w:lang w:val="en-AU" w:eastAsia="en-US"/>
    </w:rPr>
  </w:style>
  <w:style w:type="paragraph" w:customStyle="1" w:styleId="Bodytext">
    <w:name w:val="Body_text"/>
    <w:basedOn w:val="Normal"/>
    <w:qFormat/>
    <w:rsid w:val="00D6270F"/>
    <w:pPr>
      <w:tabs>
        <w:tab w:val="left" w:pos="1120"/>
      </w:tabs>
      <w:spacing w:after="240" w:line="240" w:lineRule="exact"/>
    </w:pPr>
    <w:rPr>
      <w:rFonts w:eastAsiaTheme="minorHAnsi" w:cstheme="majorBidi"/>
      <w:color w:val="000000" w:themeColor="text1"/>
      <w:lang w:eastAsia="zh-TW"/>
    </w:rPr>
  </w:style>
  <w:style w:type="paragraph" w:customStyle="1" w:styleId="Chapterhead">
    <w:name w:val="Chapter head"/>
    <w:qFormat/>
    <w:rsid w:val="00D6270F"/>
    <w:pPr>
      <w:keepNext/>
      <w:spacing w:after="560" w:line="280" w:lineRule="exact"/>
      <w:outlineLvl w:val="2"/>
    </w:pPr>
    <w:rPr>
      <w:rFonts w:ascii="Verdana" w:eastAsia="Arial" w:hAnsi="Verdana" w:cs="Arial"/>
      <w:b/>
      <w:caps/>
      <w:color w:val="000000" w:themeColor="text1"/>
      <w:sz w:val="24"/>
      <w:lang w:val="en-GB" w:eastAsia="en-US"/>
    </w:rPr>
  </w:style>
  <w:style w:type="paragraph" w:customStyle="1" w:styleId="Subheading1">
    <w:name w:val="Subheading_1"/>
    <w:qFormat/>
    <w:rsid w:val="00D6270F"/>
    <w:pPr>
      <w:keepNext/>
      <w:tabs>
        <w:tab w:val="left" w:pos="1120"/>
      </w:tabs>
      <w:spacing w:before="240" w:after="240" w:line="240" w:lineRule="exact"/>
      <w:outlineLvl w:val="8"/>
    </w:pPr>
    <w:rPr>
      <w:rFonts w:ascii="Verdana" w:eastAsia="Arial" w:hAnsi="Verdana" w:cs="Arial"/>
      <w:b/>
      <w:color w:val="7F7F7F" w:themeColor="text1" w:themeTint="80"/>
      <w:sz w:val="20"/>
      <w:lang w:val="en-GB" w:eastAsia="en-US"/>
    </w:rPr>
  </w:style>
  <w:style w:type="paragraph" w:customStyle="1" w:styleId="Indent1">
    <w:name w:val="Indent 1"/>
    <w:link w:val="Indent1Char"/>
    <w:qFormat/>
    <w:rsid w:val="00D6270F"/>
    <w:pPr>
      <w:tabs>
        <w:tab w:val="left" w:pos="480"/>
      </w:tabs>
      <w:spacing w:after="240" w:line="240" w:lineRule="exact"/>
      <w:ind w:left="480" w:hanging="480"/>
    </w:pPr>
    <w:rPr>
      <w:rFonts w:ascii="Verdana" w:eastAsia="Arial" w:hAnsi="Verdana" w:cs="Arial"/>
      <w:color w:val="000000" w:themeColor="text1"/>
      <w:sz w:val="20"/>
      <w:lang w:val="en-GB" w:eastAsia="en-US"/>
    </w:rPr>
  </w:style>
  <w:style w:type="character" w:customStyle="1" w:styleId="Indent1Char">
    <w:name w:val="Indent 1 Char"/>
    <w:basedOn w:val="DefaultParagraphFont"/>
    <w:link w:val="Indent1"/>
    <w:rsid w:val="00D6270F"/>
    <w:rPr>
      <w:rFonts w:ascii="Verdana" w:eastAsia="Arial" w:hAnsi="Verdana" w:cs="Arial"/>
      <w:color w:val="000000" w:themeColor="text1"/>
      <w:sz w:val="20"/>
      <w:lang w:val="en-GB" w:eastAsia="en-US"/>
    </w:rPr>
  </w:style>
  <w:style w:type="paragraph" w:customStyle="1" w:styleId="Indent1NOspaceafter">
    <w:name w:val="Indent 1 NO space after"/>
    <w:basedOn w:val="Indent1"/>
    <w:rsid w:val="00D6270F"/>
    <w:pPr>
      <w:spacing w:after="0"/>
    </w:pPr>
  </w:style>
  <w:style w:type="paragraph" w:customStyle="1" w:styleId="Tablebodycentered">
    <w:name w:val="Table body centered"/>
    <w:basedOn w:val="Normal"/>
    <w:rsid w:val="00D6270F"/>
    <w:pPr>
      <w:spacing w:after="0" w:line="220" w:lineRule="exact"/>
      <w:jc w:val="center"/>
    </w:pPr>
    <w:rPr>
      <w:rFonts w:eastAsiaTheme="minorHAnsi" w:cstheme="majorBidi"/>
      <w:color w:val="000000" w:themeColor="text1"/>
      <w:sz w:val="18"/>
      <w:szCs w:val="20"/>
      <w:lang w:eastAsia="zh-TW"/>
    </w:rPr>
  </w:style>
  <w:style w:type="paragraph" w:customStyle="1" w:styleId="Tablebodyindent1">
    <w:name w:val="Table body indent 1"/>
    <w:basedOn w:val="Normal"/>
    <w:rsid w:val="00D6270F"/>
    <w:pPr>
      <w:tabs>
        <w:tab w:val="left" w:pos="360"/>
      </w:tabs>
      <w:spacing w:after="0" w:line="220" w:lineRule="exact"/>
      <w:ind w:left="357" w:hanging="357"/>
    </w:pPr>
    <w:rPr>
      <w:rFonts w:eastAsiaTheme="minorHAnsi" w:cstheme="majorBidi"/>
      <w:color w:val="000000" w:themeColor="text1"/>
      <w:sz w:val="18"/>
      <w:szCs w:val="20"/>
      <w:lang w:eastAsia="zh-TW"/>
    </w:rPr>
  </w:style>
  <w:style w:type="paragraph" w:customStyle="1" w:styleId="Heading1NOToC">
    <w:name w:val="Heading_1 NO ToC"/>
    <w:basedOn w:val="Normal"/>
    <w:rsid w:val="00D6270F"/>
    <w:pPr>
      <w:keepNext/>
      <w:tabs>
        <w:tab w:val="left" w:pos="1120"/>
      </w:tabs>
      <w:spacing w:before="480" w:after="240" w:line="240" w:lineRule="exact"/>
      <w:ind w:left="1123" w:hanging="1123"/>
      <w:outlineLvl w:val="3"/>
    </w:pPr>
    <w:rPr>
      <w:rFonts w:eastAsiaTheme="minorHAnsi" w:cstheme="majorBidi"/>
      <w:b/>
      <w:caps/>
      <w:color w:val="000000" w:themeColor="text1"/>
      <w:szCs w:val="20"/>
      <w:lang w:eastAsia="zh-TW"/>
    </w:rPr>
  </w:style>
  <w:style w:type="paragraph" w:customStyle="1" w:styleId="Indent1semiboldNOspaceafter">
    <w:name w:val="Indent 1 semi bold NO space after"/>
    <w:basedOn w:val="Normal"/>
    <w:rsid w:val="00D6270F"/>
    <w:pPr>
      <w:tabs>
        <w:tab w:val="left" w:pos="480"/>
      </w:tabs>
      <w:spacing w:after="0" w:line="240" w:lineRule="auto"/>
      <w:ind w:left="480" w:hanging="480"/>
    </w:pPr>
    <w:rPr>
      <w:rFonts w:eastAsiaTheme="minorHAnsi" w:cstheme="majorBidi"/>
      <w:b/>
      <w:color w:val="7F7F7F" w:themeColor="text1" w:themeTint="80"/>
      <w:szCs w:val="20"/>
      <w:lang w:eastAsia="zh-TW"/>
    </w:rPr>
  </w:style>
  <w:style w:type="character" w:customStyle="1" w:styleId="Semibold">
    <w:name w:val="Semi bold"/>
    <w:basedOn w:val="DefaultParagraphFont"/>
    <w:qFormat/>
    <w:rsid w:val="00D6270F"/>
    <w:rPr>
      <w:b/>
      <w:color w:val="7F7F7F" w:themeColor="text1" w:themeTint="80"/>
    </w:rPr>
  </w:style>
  <w:style w:type="paragraph" w:customStyle="1" w:styleId="Indent2">
    <w:name w:val="Indent 2"/>
    <w:qFormat/>
    <w:rsid w:val="0070626E"/>
    <w:pPr>
      <w:tabs>
        <w:tab w:val="left" w:pos="960"/>
      </w:tabs>
      <w:spacing w:after="240" w:line="240" w:lineRule="exact"/>
      <w:ind w:left="960" w:hanging="480"/>
    </w:pPr>
    <w:rPr>
      <w:rFonts w:ascii="Verdana" w:eastAsia="Arial" w:hAnsi="Verdana" w:cs="Arial"/>
      <w:color w:val="000000" w:themeColor="text1"/>
      <w:sz w:val="20"/>
      <w:lang w:val="en-GB" w:eastAsia="en-US"/>
    </w:rPr>
  </w:style>
  <w:style w:type="paragraph" w:customStyle="1" w:styleId="Indent2NOspaceafter">
    <w:name w:val="Indent 2 NO space after"/>
    <w:basedOn w:val="Indent2"/>
    <w:rsid w:val="0070626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customStyle="1" w:styleId="Heading3">
    <w:name w:val="Heading_3"/>
    <w:basedOn w:val="Normal"/>
    <w:qFormat/>
    <w:rsid w:val="0090152C"/>
    <w:pPr>
      <w:keepNext/>
      <w:tabs>
        <w:tab w:val="left" w:pos="1120"/>
      </w:tabs>
      <w:spacing w:before="240" w:after="240" w:line="240" w:lineRule="exact"/>
      <w:ind w:left="1123" w:hanging="1123"/>
      <w:outlineLvl w:val="5"/>
    </w:pPr>
    <w:rPr>
      <w:rFonts w:eastAsiaTheme="minorHAnsi" w:cstheme="majorBidi"/>
      <w:b/>
      <w:i/>
      <w:color w:val="000000" w:themeColor="text1"/>
      <w:lang w:eastAsia="zh-TW"/>
    </w:rPr>
  </w:style>
  <w:style w:type="paragraph" w:customStyle="1" w:styleId="Bodytextsemibold">
    <w:name w:val="Body text semibold"/>
    <w:basedOn w:val="Normal"/>
    <w:rsid w:val="0090152C"/>
    <w:pPr>
      <w:tabs>
        <w:tab w:val="left" w:pos="1120"/>
      </w:tabs>
      <w:spacing w:after="240" w:line="240" w:lineRule="auto"/>
    </w:pPr>
    <w:rPr>
      <w:rFonts w:eastAsiaTheme="minorHAnsi" w:cstheme="majorBidi"/>
      <w:b/>
      <w:color w:val="7F7F7F" w:themeColor="text1" w:themeTint="80"/>
      <w:szCs w:val="20"/>
      <w:lang w:eastAsia="zh-TW"/>
    </w:rPr>
  </w:style>
  <w:style w:type="paragraph" w:customStyle="1" w:styleId="Note">
    <w:name w:val="Note"/>
    <w:qFormat/>
    <w:rsid w:val="0090152C"/>
    <w:pPr>
      <w:tabs>
        <w:tab w:val="left" w:pos="720"/>
      </w:tabs>
      <w:spacing w:after="240" w:line="200" w:lineRule="exact"/>
    </w:pPr>
    <w:rPr>
      <w:rFonts w:ascii="Verdana" w:eastAsia="Arial" w:hAnsi="Verdana" w:cs="Arial"/>
      <w:color w:val="000000" w:themeColor="text1"/>
      <w:sz w:val="16"/>
      <w:lang w:val="en-GB" w:eastAsia="en-US"/>
    </w:rPr>
  </w:style>
  <w:style w:type="paragraph" w:customStyle="1" w:styleId="Indent1semibold">
    <w:name w:val="Indent 1 semi bold"/>
    <w:basedOn w:val="Normal"/>
    <w:qFormat/>
    <w:rsid w:val="0090152C"/>
    <w:pPr>
      <w:tabs>
        <w:tab w:val="left" w:pos="480"/>
      </w:tabs>
      <w:spacing w:after="240" w:line="240" w:lineRule="exact"/>
      <w:ind w:left="480" w:hanging="480"/>
    </w:pPr>
    <w:rPr>
      <w:rFonts w:eastAsia="Arial" w:cs="Arial"/>
      <w:b/>
      <w:color w:val="7F7F7F" w:themeColor="text1" w:themeTint="80"/>
      <w:lang w:eastAsia="en-US"/>
    </w:rPr>
  </w:style>
  <w:style w:type="paragraph" w:customStyle="1" w:styleId="Tablecaption">
    <w:name w:val="Table caption"/>
    <w:basedOn w:val="Normal"/>
    <w:rsid w:val="0090152C"/>
    <w:pPr>
      <w:keepNext/>
      <w:spacing w:before="240" w:after="240" w:line="240" w:lineRule="exact"/>
      <w:jc w:val="center"/>
    </w:pPr>
    <w:rPr>
      <w:rFonts w:eastAsiaTheme="minorHAnsi" w:cstheme="majorBidi"/>
      <w:b/>
      <w:color w:val="7F7F7F" w:themeColor="text1" w:themeTint="80"/>
      <w:szCs w:val="20"/>
      <w:lang w:eastAsia="zh-TW"/>
    </w:rPr>
  </w:style>
  <w:style w:type="paragraph" w:customStyle="1" w:styleId="Tableheader">
    <w:name w:val="Table header"/>
    <w:basedOn w:val="Normal"/>
    <w:link w:val="TableheaderChar"/>
    <w:rsid w:val="0090152C"/>
    <w:pPr>
      <w:spacing w:before="125" w:after="125" w:line="220" w:lineRule="exact"/>
      <w:jc w:val="center"/>
    </w:pPr>
    <w:rPr>
      <w:rFonts w:eastAsiaTheme="minorHAnsi" w:cstheme="majorBidi"/>
      <w:i/>
      <w:color w:val="000000" w:themeColor="text1"/>
      <w:sz w:val="18"/>
      <w:szCs w:val="20"/>
      <w:lang w:eastAsia="en-US"/>
    </w:rPr>
  </w:style>
  <w:style w:type="character" w:customStyle="1" w:styleId="TableheaderChar">
    <w:name w:val="Table header Char"/>
    <w:basedOn w:val="DefaultParagraphFont"/>
    <w:link w:val="Tableheader"/>
    <w:rsid w:val="0090152C"/>
    <w:rPr>
      <w:rFonts w:ascii="Verdana" w:eastAsiaTheme="minorHAnsi" w:hAnsi="Verdana" w:cstheme="majorBidi"/>
      <w:i/>
      <w:color w:val="000000" w:themeColor="text1"/>
      <w:sz w:val="18"/>
      <w:szCs w:val="20"/>
      <w:lang w:val="en-GB" w:eastAsia="en-US"/>
    </w:rPr>
  </w:style>
  <w:style w:type="paragraph" w:customStyle="1" w:styleId="Tablebody">
    <w:name w:val="Table body"/>
    <w:basedOn w:val="Normal"/>
    <w:link w:val="TablebodyChar"/>
    <w:rsid w:val="0090152C"/>
    <w:pPr>
      <w:spacing w:after="0" w:line="220" w:lineRule="exact"/>
    </w:pPr>
    <w:rPr>
      <w:rFonts w:eastAsiaTheme="minorHAnsi" w:cstheme="majorBidi"/>
      <w:color w:val="000000" w:themeColor="text1"/>
      <w:spacing w:val="-4"/>
      <w:sz w:val="18"/>
      <w:szCs w:val="20"/>
      <w:lang w:eastAsia="zh-TW"/>
    </w:rPr>
  </w:style>
  <w:style w:type="character" w:customStyle="1" w:styleId="TablebodyChar">
    <w:name w:val="Table body Char"/>
    <w:basedOn w:val="DefaultParagraphFont"/>
    <w:link w:val="Tablebody"/>
    <w:rsid w:val="0090152C"/>
    <w:rPr>
      <w:rFonts w:ascii="Verdana" w:eastAsiaTheme="minorHAnsi" w:hAnsi="Verdana" w:cstheme="majorBidi"/>
      <w:color w:val="000000" w:themeColor="text1"/>
      <w:spacing w:val="-4"/>
      <w:sz w:val="18"/>
      <w:szCs w:val="20"/>
      <w:lang w:val="en-GB" w:eastAsia="zh-TW"/>
    </w:rPr>
  </w:style>
  <w:style w:type="character" w:customStyle="1" w:styleId="Semibolditalic">
    <w:name w:val="Semi bold italic"/>
    <w:qFormat/>
    <w:rsid w:val="0090152C"/>
    <w:rPr>
      <w:b/>
      <w:i/>
      <w:color w:val="7F7F7F" w:themeColor="text1" w:themeTint="80"/>
    </w:rPr>
  </w:style>
  <w:style w:type="paragraph" w:customStyle="1" w:styleId="TPSTable">
    <w:name w:val="TPS Table"/>
    <w:basedOn w:val="Normal"/>
    <w:next w:val="Normal"/>
    <w:uiPriority w:val="1"/>
    <w:rsid w:val="0090152C"/>
    <w:pPr>
      <w:pBdr>
        <w:top w:val="single" w:sz="2" w:space="3" w:color="auto"/>
      </w:pBdr>
      <w:shd w:val="clear" w:color="auto" w:fill="C0AB87"/>
      <w:spacing w:after="0" w:line="300" w:lineRule="auto"/>
    </w:pPr>
    <w:rPr>
      <w:rFonts w:ascii="Arial" w:eastAsia="Times New Roman" w:hAnsi="Arial" w:cs="Times New Roman"/>
      <w:b/>
      <w:color w:val="2F275B"/>
      <w:sz w:val="18"/>
      <w:szCs w:val="24"/>
      <w:lang w:eastAsia="zh-TW"/>
    </w:rPr>
  </w:style>
  <w:style w:type="character" w:styleId="CommentReference">
    <w:name w:val="annotation reference"/>
    <w:basedOn w:val="DefaultParagraphFont"/>
    <w:uiPriority w:val="99"/>
    <w:semiHidden/>
    <w:unhideWhenUsed/>
    <w:rsid w:val="0090152C"/>
    <w:rPr>
      <w:sz w:val="16"/>
      <w:szCs w:val="16"/>
    </w:rPr>
  </w:style>
  <w:style w:type="paragraph" w:styleId="CommentText">
    <w:name w:val="annotation text"/>
    <w:basedOn w:val="Normal"/>
    <w:link w:val="CommentTextChar"/>
    <w:uiPriority w:val="99"/>
    <w:semiHidden/>
    <w:unhideWhenUsed/>
    <w:rsid w:val="0090152C"/>
    <w:pPr>
      <w:spacing w:line="240" w:lineRule="auto"/>
    </w:pPr>
    <w:rPr>
      <w:szCs w:val="20"/>
    </w:rPr>
  </w:style>
  <w:style w:type="character" w:customStyle="1" w:styleId="CommentTextChar">
    <w:name w:val="Comment Text Char"/>
    <w:basedOn w:val="DefaultParagraphFont"/>
    <w:link w:val="CommentText"/>
    <w:uiPriority w:val="99"/>
    <w:semiHidden/>
    <w:rsid w:val="0090152C"/>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90152C"/>
    <w:rPr>
      <w:b/>
      <w:bCs/>
    </w:rPr>
  </w:style>
  <w:style w:type="character" w:customStyle="1" w:styleId="CommentSubjectChar">
    <w:name w:val="Comment Subject Char"/>
    <w:basedOn w:val="CommentTextChar"/>
    <w:link w:val="CommentSubject"/>
    <w:uiPriority w:val="99"/>
    <w:semiHidden/>
    <w:rsid w:val="0090152C"/>
    <w:rPr>
      <w:rFonts w:ascii="Verdana" w:hAnsi="Verdana"/>
      <w:b/>
      <w:bCs/>
      <w:sz w:val="20"/>
      <w:szCs w:val="20"/>
      <w:lang w:val="en-GB"/>
    </w:rPr>
  </w:style>
  <w:style w:type="paragraph" w:styleId="BalloonText">
    <w:name w:val="Balloon Text"/>
    <w:basedOn w:val="Normal"/>
    <w:link w:val="BalloonTextChar"/>
    <w:uiPriority w:val="99"/>
    <w:semiHidden/>
    <w:unhideWhenUsed/>
    <w:rsid w:val="00901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52C"/>
    <w:rPr>
      <w:rFonts w:ascii="Tahoma" w:hAnsi="Tahoma" w:cs="Tahoma"/>
      <w:sz w:val="16"/>
      <w:szCs w:val="16"/>
      <w:lang w:val="en-GB"/>
    </w:rPr>
  </w:style>
  <w:style w:type="character" w:styleId="Hyperlink">
    <w:name w:val="Hyperlink"/>
    <w:basedOn w:val="DefaultParagraphFont"/>
    <w:rsid w:val="00D6270F"/>
    <w:rPr>
      <w:color w:val="0000FF" w:themeColor="hyperlink"/>
      <w:u w:val="none"/>
    </w:rPr>
  </w:style>
  <w:style w:type="character" w:customStyle="1" w:styleId="TPSHyperlink">
    <w:name w:val="TPS Hyperlink"/>
    <w:uiPriority w:val="1"/>
    <w:rsid w:val="00D6270F"/>
    <w:rPr>
      <w:rFonts w:ascii="Arial" w:eastAsia="Times New Roman" w:hAnsi="Arial" w:cs="Times New Roman"/>
      <w:b/>
      <w:noProof w:val="0"/>
      <w:color w:val="2F275B"/>
      <w:sz w:val="18"/>
      <w:szCs w:val="24"/>
      <w:shd w:val="clear" w:color="auto" w:fill="E1ADB4"/>
      <w:lang w:val="en-AU" w:eastAsia="en-US"/>
    </w:rPr>
  </w:style>
  <w:style w:type="paragraph" w:customStyle="1" w:styleId="Bodytext">
    <w:name w:val="Body_text"/>
    <w:basedOn w:val="Normal"/>
    <w:qFormat/>
    <w:rsid w:val="00D6270F"/>
    <w:pPr>
      <w:tabs>
        <w:tab w:val="left" w:pos="1120"/>
      </w:tabs>
      <w:spacing w:after="240" w:line="240" w:lineRule="exact"/>
    </w:pPr>
    <w:rPr>
      <w:rFonts w:eastAsiaTheme="minorHAnsi" w:cstheme="majorBidi"/>
      <w:color w:val="000000" w:themeColor="text1"/>
      <w:lang w:eastAsia="zh-TW"/>
    </w:rPr>
  </w:style>
  <w:style w:type="paragraph" w:customStyle="1" w:styleId="Chapterhead">
    <w:name w:val="Chapter head"/>
    <w:qFormat/>
    <w:rsid w:val="00D6270F"/>
    <w:pPr>
      <w:keepNext/>
      <w:spacing w:after="560" w:line="280" w:lineRule="exact"/>
      <w:outlineLvl w:val="2"/>
    </w:pPr>
    <w:rPr>
      <w:rFonts w:ascii="Verdana" w:eastAsia="Arial" w:hAnsi="Verdana" w:cs="Arial"/>
      <w:b/>
      <w:caps/>
      <w:color w:val="000000" w:themeColor="text1"/>
      <w:sz w:val="24"/>
      <w:lang w:val="en-GB" w:eastAsia="en-US"/>
    </w:rPr>
  </w:style>
  <w:style w:type="paragraph" w:customStyle="1" w:styleId="Subheading1">
    <w:name w:val="Subheading_1"/>
    <w:qFormat/>
    <w:rsid w:val="00D6270F"/>
    <w:pPr>
      <w:keepNext/>
      <w:tabs>
        <w:tab w:val="left" w:pos="1120"/>
      </w:tabs>
      <w:spacing w:before="240" w:after="240" w:line="240" w:lineRule="exact"/>
      <w:outlineLvl w:val="8"/>
    </w:pPr>
    <w:rPr>
      <w:rFonts w:ascii="Verdana" w:eastAsia="Arial" w:hAnsi="Verdana" w:cs="Arial"/>
      <w:b/>
      <w:color w:val="7F7F7F" w:themeColor="text1" w:themeTint="80"/>
      <w:sz w:val="20"/>
      <w:lang w:val="en-GB" w:eastAsia="en-US"/>
    </w:rPr>
  </w:style>
  <w:style w:type="paragraph" w:customStyle="1" w:styleId="Indent1">
    <w:name w:val="Indent 1"/>
    <w:link w:val="Indent1Char"/>
    <w:qFormat/>
    <w:rsid w:val="00D6270F"/>
    <w:pPr>
      <w:tabs>
        <w:tab w:val="left" w:pos="480"/>
      </w:tabs>
      <w:spacing w:after="240" w:line="240" w:lineRule="exact"/>
      <w:ind w:left="480" w:hanging="480"/>
    </w:pPr>
    <w:rPr>
      <w:rFonts w:ascii="Verdana" w:eastAsia="Arial" w:hAnsi="Verdana" w:cs="Arial"/>
      <w:color w:val="000000" w:themeColor="text1"/>
      <w:sz w:val="20"/>
      <w:lang w:val="en-GB" w:eastAsia="en-US"/>
    </w:rPr>
  </w:style>
  <w:style w:type="character" w:customStyle="1" w:styleId="Indent1Char">
    <w:name w:val="Indent 1 Char"/>
    <w:basedOn w:val="DefaultParagraphFont"/>
    <w:link w:val="Indent1"/>
    <w:rsid w:val="00D6270F"/>
    <w:rPr>
      <w:rFonts w:ascii="Verdana" w:eastAsia="Arial" w:hAnsi="Verdana" w:cs="Arial"/>
      <w:color w:val="000000" w:themeColor="text1"/>
      <w:sz w:val="20"/>
      <w:lang w:val="en-GB" w:eastAsia="en-US"/>
    </w:rPr>
  </w:style>
  <w:style w:type="paragraph" w:customStyle="1" w:styleId="Indent1NOspaceafter">
    <w:name w:val="Indent 1 NO space after"/>
    <w:basedOn w:val="Indent1"/>
    <w:rsid w:val="00D6270F"/>
    <w:pPr>
      <w:spacing w:after="0"/>
    </w:pPr>
  </w:style>
  <w:style w:type="paragraph" w:customStyle="1" w:styleId="Tablebodycentered">
    <w:name w:val="Table body centered"/>
    <w:basedOn w:val="Normal"/>
    <w:rsid w:val="00D6270F"/>
    <w:pPr>
      <w:spacing w:after="0" w:line="220" w:lineRule="exact"/>
      <w:jc w:val="center"/>
    </w:pPr>
    <w:rPr>
      <w:rFonts w:eastAsiaTheme="minorHAnsi" w:cstheme="majorBidi"/>
      <w:color w:val="000000" w:themeColor="text1"/>
      <w:sz w:val="18"/>
      <w:szCs w:val="20"/>
      <w:lang w:eastAsia="zh-TW"/>
    </w:rPr>
  </w:style>
  <w:style w:type="paragraph" w:customStyle="1" w:styleId="Tablebodyindent1">
    <w:name w:val="Table body indent 1"/>
    <w:basedOn w:val="Normal"/>
    <w:rsid w:val="00D6270F"/>
    <w:pPr>
      <w:tabs>
        <w:tab w:val="left" w:pos="360"/>
      </w:tabs>
      <w:spacing w:after="0" w:line="220" w:lineRule="exact"/>
      <w:ind w:left="357" w:hanging="357"/>
    </w:pPr>
    <w:rPr>
      <w:rFonts w:eastAsiaTheme="minorHAnsi" w:cstheme="majorBidi"/>
      <w:color w:val="000000" w:themeColor="text1"/>
      <w:sz w:val="18"/>
      <w:szCs w:val="20"/>
      <w:lang w:eastAsia="zh-TW"/>
    </w:rPr>
  </w:style>
  <w:style w:type="paragraph" w:customStyle="1" w:styleId="Heading1NOToC">
    <w:name w:val="Heading_1 NO ToC"/>
    <w:basedOn w:val="Normal"/>
    <w:rsid w:val="00D6270F"/>
    <w:pPr>
      <w:keepNext/>
      <w:tabs>
        <w:tab w:val="left" w:pos="1120"/>
      </w:tabs>
      <w:spacing w:before="480" w:after="240" w:line="240" w:lineRule="exact"/>
      <w:ind w:left="1123" w:hanging="1123"/>
      <w:outlineLvl w:val="3"/>
    </w:pPr>
    <w:rPr>
      <w:rFonts w:eastAsiaTheme="minorHAnsi" w:cstheme="majorBidi"/>
      <w:b/>
      <w:caps/>
      <w:color w:val="000000" w:themeColor="text1"/>
      <w:szCs w:val="20"/>
      <w:lang w:eastAsia="zh-TW"/>
    </w:rPr>
  </w:style>
  <w:style w:type="paragraph" w:customStyle="1" w:styleId="Indent1semiboldNOspaceafter">
    <w:name w:val="Indent 1 semi bold NO space after"/>
    <w:basedOn w:val="Normal"/>
    <w:rsid w:val="00D6270F"/>
    <w:pPr>
      <w:tabs>
        <w:tab w:val="left" w:pos="480"/>
      </w:tabs>
      <w:spacing w:after="0" w:line="240" w:lineRule="auto"/>
      <w:ind w:left="480" w:hanging="480"/>
    </w:pPr>
    <w:rPr>
      <w:rFonts w:eastAsiaTheme="minorHAnsi" w:cstheme="majorBidi"/>
      <w:b/>
      <w:color w:val="7F7F7F" w:themeColor="text1" w:themeTint="80"/>
      <w:szCs w:val="20"/>
      <w:lang w:eastAsia="zh-TW"/>
    </w:rPr>
  </w:style>
  <w:style w:type="character" w:customStyle="1" w:styleId="Semibold">
    <w:name w:val="Semi bold"/>
    <w:basedOn w:val="DefaultParagraphFont"/>
    <w:qFormat/>
    <w:rsid w:val="00D6270F"/>
    <w:rPr>
      <w:b/>
      <w:color w:val="7F7F7F" w:themeColor="text1" w:themeTint="80"/>
    </w:rPr>
  </w:style>
  <w:style w:type="paragraph" w:customStyle="1" w:styleId="Indent2">
    <w:name w:val="Indent 2"/>
    <w:qFormat/>
    <w:rsid w:val="0070626E"/>
    <w:pPr>
      <w:tabs>
        <w:tab w:val="left" w:pos="960"/>
      </w:tabs>
      <w:spacing w:after="240" w:line="240" w:lineRule="exact"/>
      <w:ind w:left="960" w:hanging="480"/>
    </w:pPr>
    <w:rPr>
      <w:rFonts w:ascii="Verdana" w:eastAsia="Arial" w:hAnsi="Verdana" w:cs="Arial"/>
      <w:color w:val="000000" w:themeColor="text1"/>
      <w:sz w:val="20"/>
      <w:lang w:val="en-GB" w:eastAsia="en-US"/>
    </w:rPr>
  </w:style>
  <w:style w:type="paragraph" w:customStyle="1" w:styleId="Indent2NOspaceafter">
    <w:name w:val="Indent 2 NO space after"/>
    <w:basedOn w:val="Indent2"/>
    <w:rsid w:val="0070626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E2B45-A8D5-4604-9894-B64ACA7A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Moodie</dc:creator>
  <cp:lastModifiedBy>Neal Moodie</cp:lastModifiedBy>
  <cp:revision>3</cp:revision>
  <dcterms:created xsi:type="dcterms:W3CDTF">2018-08-01T15:05:00Z</dcterms:created>
  <dcterms:modified xsi:type="dcterms:W3CDTF">2018-08-02T12:19:00Z</dcterms:modified>
</cp:coreProperties>
</file>