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contextualSpacing w:val="0"/>
        <w:rPr/>
      </w:pPr>
      <w:bookmarkStart w:colFirst="0" w:colLast="0" w:name="_iaps205nfrn4" w:id="0"/>
      <w:bookmarkEnd w:id="0"/>
      <w:r w:rsidDel="00000000" w:rsidR="00000000" w:rsidRPr="00000000">
        <w:rPr>
          <w:rtl w:val="0"/>
        </w:rPr>
        <w:t xml:space="preserve">Case study article on TC warnings and improved decision making by vessels</w:t>
      </w:r>
    </w:p>
    <w:p w:rsidR="00000000" w:rsidDel="00000000" w:rsidP="00000000" w:rsidRDefault="00000000" w:rsidRPr="00000000" w14:paraId="00000001">
      <w:pPr>
        <w:pStyle w:val="Heading2"/>
        <w:contextualSpacing w:val="0"/>
        <w:rPr/>
      </w:pPr>
      <w:bookmarkStart w:colFirst="0" w:colLast="0" w:name="_qm7mlnwyk4wh" w:id="1"/>
      <w:bookmarkEnd w:id="1"/>
      <w:r w:rsidDel="00000000" w:rsidR="00000000" w:rsidRPr="00000000">
        <w:rPr>
          <w:rtl w:val="0"/>
        </w:rPr>
        <w:t xml:space="preserve">Planning section</w:t>
      </w:r>
    </w:p>
    <w:p w:rsidR="00000000" w:rsidDel="00000000" w:rsidP="00000000" w:rsidRDefault="00000000" w:rsidRPr="00000000" w14:paraId="00000002">
      <w:pPr>
        <w:contextualSpacing w:val="0"/>
        <w:rPr/>
      </w:pPr>
      <w:r w:rsidDel="00000000" w:rsidR="00000000" w:rsidRPr="00000000">
        <w:rPr>
          <w:rtl w:val="0"/>
        </w:rPr>
        <w:t xml:space="preserve">2 article styles</w:t>
      </w:r>
    </w:p>
    <w:p w:rsidR="00000000" w:rsidDel="00000000" w:rsidP="00000000" w:rsidRDefault="00000000" w:rsidRPr="00000000" w14:paraId="00000003">
      <w:pPr>
        <w:numPr>
          <w:ilvl w:val="0"/>
          <w:numId w:val="2"/>
        </w:numPr>
        <w:ind w:left="720" w:hanging="360"/>
        <w:rPr>
          <w:u w:val="none"/>
        </w:rPr>
      </w:pPr>
      <w:r w:rsidDel="00000000" w:rsidR="00000000" w:rsidRPr="00000000">
        <w:rPr>
          <w:rtl w:val="0"/>
        </w:rPr>
        <w:t xml:space="preserve">MeteoWorld - aimed at WMO Members and general readers (about 500 words, limited opportunity for graphics)</w:t>
      </w:r>
    </w:p>
    <w:p w:rsidR="00000000" w:rsidDel="00000000" w:rsidP="00000000" w:rsidRDefault="00000000" w:rsidRPr="00000000" w14:paraId="00000004">
      <w:pPr>
        <w:numPr>
          <w:ilvl w:val="0"/>
          <w:numId w:val="2"/>
        </w:numPr>
        <w:ind w:left="720" w:hanging="360"/>
        <w:rPr>
          <w:u w:val="none"/>
        </w:rPr>
      </w:pPr>
      <w:r w:rsidDel="00000000" w:rsidR="00000000" w:rsidRPr="00000000">
        <w:rPr>
          <w:rtl w:val="0"/>
        </w:rPr>
        <w:t xml:space="preserve">Longer article for submission to shipping and partner communication channels (should include graphics)</w:t>
      </w:r>
    </w:p>
    <w:p w:rsidR="00000000" w:rsidDel="00000000" w:rsidP="00000000" w:rsidRDefault="00000000" w:rsidRPr="00000000" w14:paraId="00000005">
      <w:pPr>
        <w:pStyle w:val="Heading3"/>
        <w:contextualSpacing w:val="0"/>
        <w:rPr/>
      </w:pPr>
      <w:bookmarkStart w:colFirst="0" w:colLast="0" w:name="_u9s9sfo4bb5a" w:id="2"/>
      <w:bookmarkEnd w:id="2"/>
      <w:r w:rsidDel="00000000" w:rsidR="00000000" w:rsidRPr="00000000">
        <w:rPr>
          <w:rtl w:val="0"/>
        </w:rPr>
        <w:t xml:space="preserve">Key messages that we want to convey in the article</w:t>
      </w:r>
    </w:p>
    <w:p w:rsidR="00000000" w:rsidDel="00000000" w:rsidP="00000000" w:rsidRDefault="00000000" w:rsidRPr="00000000" w14:paraId="00000006">
      <w:pPr>
        <w:numPr>
          <w:ilvl w:val="0"/>
          <w:numId w:val="3"/>
        </w:numPr>
        <w:ind w:left="720" w:hanging="360"/>
        <w:rPr>
          <w:u w:val="none"/>
        </w:rPr>
      </w:pPr>
      <w:r w:rsidDel="00000000" w:rsidR="00000000" w:rsidRPr="00000000">
        <w:rPr>
          <w:rtl w:val="0"/>
        </w:rPr>
        <w:t xml:space="preserve">Tropical Cyclones are dangerous, and pose hazard to vessel integrity and personnel</w:t>
      </w:r>
    </w:p>
    <w:p w:rsidR="00000000" w:rsidDel="00000000" w:rsidP="00000000" w:rsidRDefault="00000000" w:rsidRPr="00000000" w14:paraId="00000007">
      <w:pPr>
        <w:numPr>
          <w:ilvl w:val="0"/>
          <w:numId w:val="3"/>
        </w:numPr>
        <w:ind w:left="720" w:hanging="360"/>
        <w:rPr>
          <w:u w:val="none"/>
        </w:rPr>
      </w:pPr>
      <w:r w:rsidDel="00000000" w:rsidR="00000000" w:rsidRPr="00000000">
        <w:rPr>
          <w:rtl w:val="0"/>
        </w:rPr>
        <w:t xml:space="preserve">Tropical Cyclone warnings include the area of gale force winds or stronger, which could extend beyond 150nm from the centre.</w:t>
      </w:r>
    </w:p>
    <w:p w:rsidR="00000000" w:rsidDel="00000000" w:rsidP="00000000" w:rsidRDefault="00000000" w:rsidRPr="00000000" w14:paraId="00000008">
      <w:pPr>
        <w:numPr>
          <w:ilvl w:val="0"/>
          <w:numId w:val="3"/>
        </w:numPr>
        <w:ind w:left="720" w:hanging="360"/>
        <w:rPr>
          <w:u w:val="none"/>
        </w:rPr>
      </w:pPr>
      <w:commentRangeStart w:id="0"/>
      <w:commentRangeStart w:id="1"/>
      <w:commentRangeStart w:id="2"/>
      <w:commentRangeStart w:id="3"/>
      <w:r w:rsidDel="00000000" w:rsidR="00000000" w:rsidRPr="00000000">
        <w:rPr>
          <w:rtl w:val="0"/>
        </w:rPr>
        <w:t xml:space="preserve">The WWMIWS can provide 200nm or 24 hour lead-time to assist safe decision making</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09">
      <w:pPr>
        <w:numPr>
          <w:ilvl w:val="0"/>
          <w:numId w:val="3"/>
        </w:numPr>
        <w:ind w:left="720" w:hanging="360"/>
        <w:rPr>
          <w:u w:val="none"/>
        </w:rPr>
      </w:pPr>
      <w:r w:rsidDel="00000000" w:rsidR="00000000" w:rsidRPr="00000000">
        <w:rPr>
          <w:rtl w:val="0"/>
        </w:rPr>
        <w:t xml:space="preserve">Monitor WWMIWS warnings on SafetyNET </w:t>
      </w:r>
    </w:p>
    <w:p w:rsidR="00000000" w:rsidDel="00000000" w:rsidP="00000000" w:rsidRDefault="00000000" w:rsidRPr="00000000" w14:paraId="0000000A">
      <w:pPr>
        <w:numPr>
          <w:ilvl w:val="0"/>
          <w:numId w:val="3"/>
        </w:numPr>
        <w:ind w:left="720" w:hanging="360"/>
        <w:rPr>
          <w:u w:val="none"/>
        </w:rPr>
      </w:pPr>
      <w:commentRangeStart w:id="4"/>
      <w:r w:rsidDel="00000000" w:rsidR="00000000" w:rsidRPr="00000000">
        <w:rPr>
          <w:rtl w:val="0"/>
        </w:rPr>
        <w:t xml:space="preserve">Make an early decision and stay clear of the warning area and TC path</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0B">
      <w:pPr>
        <w:numPr>
          <w:ilvl w:val="0"/>
          <w:numId w:val="3"/>
        </w:numPr>
        <w:ind w:left="720" w:hanging="360"/>
        <w:rPr>
          <w:u w:val="none"/>
        </w:rPr>
      </w:pPr>
      <w:commentRangeStart w:id="5"/>
      <w:commentRangeStart w:id="6"/>
      <w:commentRangeStart w:id="7"/>
      <w:commentRangeStart w:id="8"/>
      <w:r w:rsidDel="00000000" w:rsidR="00000000" w:rsidRPr="00000000">
        <w:rPr>
          <w:rtl w:val="0"/>
        </w:rPr>
        <w:t xml:space="preserve">TCs’ long-range forecasts and information about  the errors (or forecast uncertainty) especially for the recurving TCs  can benefit the decision </w:t>
      </w:r>
    </w:p>
    <w:p w:rsidR="00000000" w:rsidDel="00000000" w:rsidP="00000000" w:rsidRDefault="00000000" w:rsidRPr="00000000" w14:paraId="0000000C">
      <w:pPr>
        <w:numPr>
          <w:ilvl w:val="0"/>
          <w:numId w:val="3"/>
        </w:numPr>
        <w:ind w:left="720" w:hanging="360"/>
        <w:rPr>
          <w:u w:val="none"/>
        </w:rPr>
      </w:pPr>
      <w:r w:rsidDel="00000000" w:rsidR="00000000" w:rsidRPr="00000000">
        <w:rPr>
          <w:rtl w:val="0"/>
        </w:rPr>
        <w:t xml:space="preserve">The importance of observations from vessels in modifying the real-time warning of TCs</w:t>
      </w:r>
      <w:commentRangeEnd w:id="5"/>
      <w:r w:rsidDel="00000000" w:rsidR="00000000" w:rsidRPr="00000000">
        <w:commentReference w:id="5"/>
      </w:r>
      <w:commentRangeEnd w:id="6"/>
      <w:r w:rsidDel="00000000" w:rsidR="00000000" w:rsidRPr="00000000">
        <w:commentReference w:id="6"/>
      </w:r>
      <w:commentRangeEnd w:id="7"/>
      <w:r w:rsidDel="00000000" w:rsidR="00000000" w:rsidRPr="00000000">
        <w:commentReference w:id="7"/>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pStyle w:val="Heading3"/>
        <w:contextualSpacing w:val="0"/>
        <w:rPr/>
      </w:pPr>
      <w:bookmarkStart w:colFirst="0" w:colLast="0" w:name="_xc9h11hbltd7" w:id="3"/>
      <w:bookmarkEnd w:id="3"/>
      <w:r w:rsidDel="00000000" w:rsidR="00000000" w:rsidRPr="00000000">
        <w:rPr>
          <w:rtl w:val="0"/>
        </w:rPr>
        <w:t xml:space="preserve">How we could structure the article</w:t>
      </w:r>
    </w:p>
    <w:p w:rsidR="00000000" w:rsidDel="00000000" w:rsidP="00000000" w:rsidRDefault="00000000" w:rsidRPr="00000000" w14:paraId="0000000F">
      <w:pPr>
        <w:numPr>
          <w:ilvl w:val="0"/>
          <w:numId w:val="1"/>
        </w:numPr>
        <w:ind w:left="720" w:hanging="360"/>
        <w:rPr>
          <w:u w:val="none"/>
        </w:rPr>
      </w:pPr>
      <w:commentRangeStart w:id="9"/>
      <w:r w:rsidDel="00000000" w:rsidR="00000000" w:rsidRPr="00000000">
        <w:rPr>
          <w:rtl w:val="0"/>
        </w:rPr>
        <w:t xml:space="preserve">Use the case study examples and pictures to emphasise correct decision making behaviour, and the size of the TC warning area.</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Provide a short background on WWMIWS and </w:t>
      </w:r>
      <w:commentRangeStart w:id="10"/>
      <w:r w:rsidDel="00000000" w:rsidR="00000000" w:rsidRPr="00000000">
        <w:rPr>
          <w:rtl w:val="0"/>
        </w:rPr>
        <w:t xml:space="preserve">RSMC’s/TCWC’s</w:t>
      </w:r>
      <w:commentRangeEnd w:id="10"/>
      <w:r w:rsidDel="00000000" w:rsidR="00000000" w:rsidRPr="00000000">
        <w:commentReference w:id="10"/>
      </w:r>
      <w:r w:rsidDel="00000000" w:rsidR="00000000" w:rsidRPr="00000000">
        <w:rPr>
          <w:rtl w:val="0"/>
        </w:rPr>
        <w:t xml:space="preserve">.</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Provide a short background on  the forecast capability of different TC RSMCs including China.</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Provide the case study examples of vessel observations in improving the TC forecasts and warnings ,especially for making the gale warning forecast.</w:t>
      </w:r>
    </w:p>
    <w:p w:rsidR="00000000" w:rsidDel="00000000" w:rsidP="00000000" w:rsidRDefault="00000000" w:rsidRPr="00000000" w14:paraId="00000013">
      <w:pPr>
        <w:ind w:left="720" w:firstLine="0"/>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pStyle w:val="Heading2"/>
        <w:contextualSpacing w:val="0"/>
        <w:rPr/>
      </w:pPr>
      <w:bookmarkStart w:colFirst="0" w:colLast="0" w:name="_qln33gy693z2" w:id="4"/>
      <w:bookmarkEnd w:id="4"/>
      <w:r w:rsidDel="00000000" w:rsidR="00000000" w:rsidRPr="00000000">
        <w:rPr>
          <w:rtl w:val="0"/>
        </w:rPr>
        <w:t xml:space="preserve">Content for MeteoWorld article (due August 31, 2018)</w:t>
      </w:r>
    </w:p>
    <w:p w:rsidR="00000000" w:rsidDel="00000000" w:rsidP="00000000" w:rsidRDefault="00000000" w:rsidRPr="00000000" w14:paraId="00000017">
      <w:pPr>
        <w:contextualSpacing w:val="0"/>
        <w:rPr/>
      </w:pPr>
      <w:r w:rsidDel="00000000" w:rsidR="00000000" w:rsidRPr="00000000">
        <w:rPr>
          <w:rtl w:val="0"/>
        </w:rPr>
        <w:t xml:space="preserve">Each year, over 100,000 forecasts and warnings are transmitted to ships at sea through the IMO/WMO Worldwide Met-Ocean Information and Warning Service (WWMIWS).  The service provides the vital weather, wave and ice warnings that have been specified in the United Nations Convention for Safety of Life at Sea (SOLAS) to improve ship safety and protect the welfare of seafarers.</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t xml:space="preserve">A near-miss involving a merchant vessel that transited directly through the eye of a tropical cyclone has underlined the importance of voyage planning and making early decisions using warnings issued as part of the WWMIWS.  The incident has prompted the World Meteorological Organization (WMO) to emphasise the hazards to shipping resulting from a tropical cyclone, and to outline the importance of warnings and forecasts in supporting voyage planning decisions.</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t xml:space="preserve">Tropical cyclones can produce a range of hazards to shipping including: hazardous winds and gusts, huge swells, heavy rain reducing visibility, and lightning.  The impacts of these hazards on a vessel include increased risks to vessel integrity, safety of personnel and passengers, and carriage of cargo. There may be costly consequences to shipping companies and marine insurers if vessels are unable to avoid the hazard areas associated with a tropical cyclone that can range 300 nautical miles in diameter.</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t xml:space="preserve">Ships are made aware of tropical cyclones through the WWMIWS. The service, coordinated by 19 National Meteorological and Hydrological Services, transmits wind warnings to the vessel using satellite and radio communication systems, covering the majority of the world’s oceans.  The warnings describe the current area of gale-force winds and above, the area of maximum wind intensity, and also provides the position of the tropical cyclone and movement over the next 24 hours.</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t xml:space="preserve">A web portal provides a one-stop shop for viewing all warnings issued for the WWMIWS.  The web portal is a useful tool for ship fleet managers, and also for vessels to monitor weather systems on their route.  The web portal is hosted by Meteo-France, and receives 8000 views per month.</w:t>
      </w:r>
    </w:p>
    <w:p w:rsidR="00000000" w:rsidDel="00000000" w:rsidP="00000000" w:rsidRDefault="00000000" w:rsidRPr="00000000" w14:paraId="00000020">
      <w:pPr>
        <w:contextualSpacing w:val="0"/>
        <w:rPr/>
      </w:pPr>
      <w:hyperlink r:id="rId7">
        <w:r w:rsidDel="00000000" w:rsidR="00000000" w:rsidRPr="00000000">
          <w:rPr>
            <w:color w:val="1155cc"/>
            <w:u w:val="single"/>
            <w:rtl w:val="0"/>
          </w:rPr>
          <w:t xml:space="preserve">http://weather.gmdss.org/index.html</w:t>
        </w:r>
      </w:hyperlink>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drawing>
          <wp:inline distB="114300" distT="114300" distL="114300" distR="114300">
            <wp:extent cx="5943600" cy="387350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38735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t xml:space="preserve">Example of a tropical cyclone warning path intersecting with a major shipping lane from Western Australia to the Persian Gulf (dotted green lines).  Note that the ships (red dots) have kept a large distance from the path of the tropical cyclone.</w:t>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b w:val="1"/>
        </w:rPr>
      </w:pPr>
      <w:r w:rsidDel="00000000" w:rsidR="00000000" w:rsidRPr="00000000">
        <w:rPr>
          <w:b w:val="1"/>
          <w:rtl w:val="0"/>
        </w:rPr>
        <w:t xml:space="preserve">Content that might be a bit too much detail</w:t>
      </w:r>
    </w:p>
    <w:p w:rsidR="00000000" w:rsidDel="00000000" w:rsidP="00000000" w:rsidRDefault="00000000" w:rsidRPr="00000000" w14:paraId="0000002B">
      <w:pPr>
        <w:contextualSpacing w:val="0"/>
        <w:rPr/>
      </w:pPr>
      <w:r w:rsidDel="00000000" w:rsidR="00000000" w:rsidRPr="00000000">
        <w:rPr>
          <w:rtl w:val="0"/>
        </w:rPr>
        <w:t xml:space="preserve">A group of 21 dedicated meteorological centres monitor the ocean environment and issue forecasts and warnings for hazardous weather systems and ocean conditions in their defined METAREA. As a vessel move across an ocean route, the satellite system will recognise the METAREA that the vessel is located within and transmit these forecasts and warnings to the ship’s bridge. </w:t>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t xml:space="preserve">Consider inserting a case that shows desired response to the TC warnings.  I believe you showed one during the IUMI presentation of ship avoidance along a forecast TC path.  Showing desired behaviour along with behaviour that need reconsidering might be more impactful.</w:t>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ohn Parker" w:id="5" w:date="2018-07-30T11:56:13Z">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last two key messages are written differently from the first 5.  The first 5 are action statements, while these are written a little awkwardly.  I don't know the intent of these statements but incase they do become bullet points or headers in the article we may want to consider reformulating them.  I'm not sure what we are trying to convey with #6, but maybe 7 could be reworded this way: "Observations from ships at sea are very important in contributing to the real-time warning of TC's"</w:t>
      </w:r>
    </w:p>
  </w:comment>
  <w:comment w:author="赵伟" w:id="6" w:date="2018-07-31T09:46:54Z">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thanks John, I agree with you about the reword of #7. As to #6, we want to convey 2 things. First no forecast is 100% right,  Even the state-of-art TC track forecast error is higher than 60km ,the intensity error is larger than 4m/s as well.  When making decisions this should be considered. Second, now RSMCs issue TC long-range forecasts up to 120 hours, long-range forecasts will no doubt give the captain more lead time to take necessary measures. So could we list #7 as a suggestion that we prolong the forecast of TCs to 3-7 days?</w:t>
      </w:r>
    </w:p>
  </w:comment>
  <w:comment w:author="John Parker" w:id="7" w:date="2018-07-31T12:42:00Z">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Thanks Wei.  That helps me understand #6 better.  Maybe I could suggest a wording such as:  "Tropical Cyclone track and intensity information is available out to day 5 in most basins.  It's important to understand the uncertainty with these forecast to support decision-making"</w:t>
      </w:r>
    </w:p>
  </w:comment>
  <w:comment w:author="Elke Louw" w:id="8" w:date="2018-08-02T01:05:33Z">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 Wei and John. It is certainly not standard across all basins (for example in our basin we only go out to 24 hours for TC warnings) as I know there is not international standard/agreement as to how far ahead the warnings need to go out for - and of course there is the complexity of the difference in the intensity scales across different basins</w:t>
      </w:r>
    </w:p>
  </w:comment>
  <w:comment w:author="Wayne Presnell - NOAA Federal" w:id="4" w:date="2018-08-13T19:03:44Z">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help convey points 5 and 6, should we reference a marine safety web page (related to TCs) such as this one from the USA's National Hurricane Center?  https://www.nhc.noaa.gov/prepare/marine.php  Most of the rules are designed for TCs in the north Atlantic but I think they are general enough to apply to TCs in all basins.</w:t>
      </w:r>
    </w:p>
  </w:comment>
  <w:comment w:author="John Parker" w:id="10" w:date="2018-07-30T12:00:39Z">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Regional Specialize Met Centres (RSMC) were the first focused centres on TC's.  TCWC's are a western and southwestern Pacific and Indian Ocean construct more recently as part of the WMO's TCP.</w:t>
      </w:r>
    </w:p>
  </w:comment>
  <w:comment w:author="Wayne Presnell - NOAA Federal" w:id="9" w:date="2018-07-30T13:14:17Z">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El Faro sinking is a perfect example of what we are trying to convey.  The El Faro had access to weather information on Hurricane Joaquin  and had an opportunity to avoid the worst conditions but chose not to.</w:t>
      </w:r>
    </w:p>
  </w:comment>
  <w:comment w:author="Wayne Presnell - NOAA Federal" w:id="0" w:date="2018-07-30T13:09:40Z">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many cases we can do that but with rapidly developing cyclones, it is rare to get a 24 hour lead time.  The Hurricane centers of the USA issue a  potential tropical cyclone advisory for not yet named TCs which have high potential of developing quickly and affecting land within 48 hours.  It is not a product designed for shipping lanes but for ports/coastlines.</w:t>
      </w:r>
    </w:p>
  </w:comment>
  <w:comment w:author="Elke Louw" w:id="1" w:date="2018-08-02T01:12:15Z">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 with Wayne - we have a similar setup here in NZ but looking at the potential of something developoing the next 24 hours (but this is more for the pacific Islands here and our government agencies as a heads up. Don't think we should commit in this article to specific distance like the 200nm stated here. So think the word "can" needs to be replaced with something like:</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Best endevours are made by the WWMIWS to provide a 24 hour lead-time to assist with safe decision making.</w:t>
      </w:r>
    </w:p>
  </w:comment>
  <w:comment w:author="Neal Moodie" w:id="2" w:date="2018-08-02T07:45:57Z">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 Wayne, Elke</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 me explain this further.</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The 24 hour lead-time was more focused on a named TC where warnings have started to cycle.  Don't forget that many of the shipping issues occur from TC's that have been active for many days already.</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The distance reference is an attempt to use language that relates to the concerns of the shipping industry.  Met services focus on time, whereas, in shipping distance equals fuel cost (and we also need to acknowledge time has a cost as well).</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I have added a powerpoint presentation, where I had attempted to pictorialise a decision making scenario to emphasise the importance of making an early decision based on out WWMIWS products (which provide a +24 hour position), and how this vessel could have saved themselves time and fuel.</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this is a powerful example that we need to bridge with the shipping community.</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Cheers</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Neal</w:t>
      </w:r>
    </w:p>
  </w:comment>
  <w:comment w:author="Wayne Presnell - NOAA Federal" w:id="3" w:date="2018-08-13T18:47:05Z">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Neal, your explanation is reasonable to me.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eather.gmdss.org/index.html"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