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  <w:rtl w:val="0"/>
        </w:rPr>
        <w:t xml:space="preserve">2nd Joint Session of IHO World-Wide Navigational Warning Service Sub-Committee and WMO World-Wide Met-Ocean Information Warning Service Committee, Monaco, 27-31 August 2018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  <w:rtl w:val="0"/>
        </w:rPr>
        <w:t xml:space="preserve">10th meeting of IHO World-Wide Navigational Warning Service Sub-Committee, Monaco, 27-31 August 2018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Helvetica" w:cs="Helvetica" w:eastAsia="Helvetica" w:hAnsi="Helvetica"/>
          <w:b w:val="0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" w:cs="Helvetica" w:eastAsia="Helvetica" w:hAnsi="Helvetica"/>
          <w:b w:val="0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  <w:rtl w:val="0"/>
        </w:rPr>
        <w:t xml:space="preserve">1st meeting of WMO World-Wide Met-Ocean Information Warning Service Committee, Monaco, 27-31 August 2018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